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3B00F" w14:textId="77777777" w:rsidR="00493C38" w:rsidRPr="006D0A4B" w:rsidRDefault="00493C38" w:rsidP="00493C38">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eastAsia="Times New Roman" w:hAnsi="Times New Roman" w:cs="Times New Roman"/>
          <w:b/>
          <w:sz w:val="24"/>
          <w:szCs w:val="24"/>
          <w:u w:val="single"/>
          <w:lang w:bidi="hr-HR"/>
        </w:rPr>
        <w:t>Obrambena terminologija</w:t>
      </w:r>
    </w:p>
    <w:p w14:paraId="7455E193" w14:textId="77777777" w:rsidR="00493C38" w:rsidRPr="006D0A4B" w:rsidRDefault="00493C38" w:rsidP="00493C38">
      <w:pPr>
        <w:autoSpaceDE w:val="0"/>
        <w:autoSpaceDN w:val="0"/>
        <w:adjustRightInd w:val="0"/>
        <w:spacing w:after="0" w:line="240" w:lineRule="auto"/>
        <w:rPr>
          <w:rFonts w:ascii="Times New Roman" w:hAnsi="Times New Roman" w:cs="Times New Roman"/>
          <w:b/>
          <w:bCs/>
          <w:sz w:val="24"/>
          <w:szCs w:val="24"/>
        </w:rPr>
      </w:pPr>
    </w:p>
    <w:tbl>
      <w:tblPr>
        <w:tblStyle w:val="TableGrid"/>
        <w:tblW w:w="9738" w:type="dxa"/>
        <w:tblLook w:val="04A0" w:firstRow="1" w:lastRow="0" w:firstColumn="1" w:lastColumn="0" w:noHBand="0" w:noVBand="1"/>
      </w:tblPr>
      <w:tblGrid>
        <w:gridCol w:w="2083"/>
        <w:gridCol w:w="7655"/>
      </w:tblGrid>
      <w:tr w:rsidR="00493C38" w:rsidRPr="00642762" w14:paraId="1F1D2E95" w14:textId="77777777" w:rsidTr="00D90FAB">
        <w:trPr>
          <w:trHeight w:val="332"/>
        </w:trPr>
        <w:tc>
          <w:tcPr>
            <w:tcW w:w="1896" w:type="dxa"/>
            <w:shd w:val="clear" w:color="auto" w:fill="4F81BD" w:themeFill="accent1"/>
            <w:vAlign w:val="center"/>
          </w:tcPr>
          <w:p w14:paraId="1DBBB21A" w14:textId="77777777" w:rsidR="00493C38" w:rsidRPr="00642762" w:rsidRDefault="00493C38" w:rsidP="00D90FAB">
            <w:pPr>
              <w:autoSpaceDE w:val="0"/>
              <w:autoSpaceDN w:val="0"/>
              <w:adjustRightInd w:val="0"/>
              <w:spacing w:line="276" w:lineRule="auto"/>
              <w:jc w:val="center"/>
              <w:rPr>
                <w:rFonts w:ascii="Times New Roman" w:hAnsi="Times New Roman" w:cs="Times New Roman"/>
                <w:b/>
                <w:color w:val="FFFFFF" w:themeColor="background1"/>
                <w:u w:val="single"/>
              </w:rPr>
            </w:pPr>
            <w:r w:rsidRPr="00642762">
              <w:rPr>
                <w:rFonts w:ascii="Times New Roman" w:eastAsia="Times New Roman" w:hAnsi="Times New Roman" w:cs="Times New Roman"/>
                <w:b/>
                <w:color w:val="FFFFFF" w:themeColor="background1"/>
                <w:u w:val="single"/>
                <w:lang w:bidi="hr-HR"/>
              </w:rPr>
              <w:t>Pojam</w:t>
            </w:r>
          </w:p>
        </w:tc>
        <w:tc>
          <w:tcPr>
            <w:tcW w:w="7842" w:type="dxa"/>
            <w:shd w:val="clear" w:color="auto" w:fill="4F81BD" w:themeFill="accent1"/>
            <w:vAlign w:val="center"/>
          </w:tcPr>
          <w:p w14:paraId="44AC3FED" w14:textId="77777777" w:rsidR="00493C38" w:rsidRPr="00642762" w:rsidRDefault="00493C38" w:rsidP="00D90FAB">
            <w:pPr>
              <w:autoSpaceDE w:val="0"/>
              <w:autoSpaceDN w:val="0"/>
              <w:adjustRightInd w:val="0"/>
              <w:spacing w:line="276" w:lineRule="auto"/>
              <w:jc w:val="center"/>
              <w:rPr>
                <w:rFonts w:ascii="Times New Roman" w:hAnsi="Times New Roman" w:cs="Times New Roman"/>
                <w:b/>
                <w:color w:val="FFFFFF" w:themeColor="background1"/>
                <w:u w:val="single"/>
              </w:rPr>
            </w:pPr>
            <w:r w:rsidRPr="00642762">
              <w:rPr>
                <w:rFonts w:ascii="Times New Roman" w:eastAsia="Times New Roman" w:hAnsi="Times New Roman" w:cs="Times New Roman"/>
                <w:b/>
                <w:color w:val="FFFFFF" w:themeColor="background1"/>
                <w:u w:val="single"/>
                <w:lang w:bidi="hr-HR"/>
              </w:rPr>
              <w:t>Definicija</w:t>
            </w:r>
          </w:p>
        </w:tc>
      </w:tr>
      <w:tr w:rsidR="00493C38" w:rsidRPr="00642762" w14:paraId="70662AFB" w14:textId="77777777" w:rsidTr="00D90FAB">
        <w:tc>
          <w:tcPr>
            <w:tcW w:w="1896" w:type="dxa"/>
          </w:tcPr>
          <w:p w14:paraId="3D90C88B" w14:textId="77777777" w:rsidR="00493C38" w:rsidRPr="00C23CD2" w:rsidRDefault="00493C38" w:rsidP="00D90FAB">
            <w:pPr>
              <w:autoSpaceDE w:val="0"/>
              <w:autoSpaceDN w:val="0"/>
              <w:adjustRightInd w:val="0"/>
              <w:spacing w:line="276" w:lineRule="auto"/>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 xml:space="preserve">Streljivo  </w:t>
            </w:r>
          </w:p>
        </w:tc>
        <w:tc>
          <w:tcPr>
            <w:tcW w:w="7842" w:type="dxa"/>
          </w:tcPr>
          <w:p w14:paraId="766A6219" w14:textId="74185445" w:rsidR="00493C38" w:rsidRPr="00C23CD2" w:rsidRDefault="00493C38" w:rsidP="00D90FAB">
            <w:pPr>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 xml:space="preserve">Sve tvari i predmeti koji imaju ili mogu imati eksplozivna svojstva, uključujući: a) eksplozivne tvari i pirotehničke smjese; b) robu koja sadrži </w:t>
            </w:r>
            <w:r w:rsidR="002141D3">
              <w:rPr>
                <w:rFonts w:ascii="Times New Roman" w:eastAsia="Times New Roman" w:hAnsi="Times New Roman" w:cs="Times New Roman"/>
                <w:sz w:val="20"/>
                <w:szCs w:val="20"/>
                <w:lang w:bidi="hr-HR"/>
              </w:rPr>
              <w:t>eksploziv; c) agense i robu koja</w:t>
            </w:r>
            <w:r w:rsidRPr="00C23CD2">
              <w:rPr>
                <w:rFonts w:ascii="Times New Roman" w:eastAsia="Times New Roman" w:hAnsi="Times New Roman" w:cs="Times New Roman"/>
                <w:sz w:val="20"/>
                <w:szCs w:val="20"/>
                <w:lang w:bidi="hr-HR"/>
              </w:rPr>
              <w:t xml:space="preserve"> ni</w:t>
            </w:r>
            <w:r w:rsidR="002141D3">
              <w:rPr>
                <w:rFonts w:ascii="Times New Roman" w:eastAsia="Times New Roman" w:hAnsi="Times New Roman" w:cs="Times New Roman"/>
                <w:sz w:val="20"/>
                <w:szCs w:val="20"/>
                <w:lang w:bidi="hr-HR"/>
              </w:rPr>
              <w:t>je</w:t>
            </w:r>
            <w:r w:rsidRPr="00C23CD2">
              <w:rPr>
                <w:rFonts w:ascii="Times New Roman" w:eastAsia="Times New Roman" w:hAnsi="Times New Roman" w:cs="Times New Roman"/>
                <w:sz w:val="20"/>
                <w:szCs w:val="20"/>
                <w:lang w:bidi="hr-HR"/>
              </w:rPr>
              <w:t xml:space="preserve"> naveden</w:t>
            </w:r>
            <w:r w:rsidR="002141D3">
              <w:rPr>
                <w:rFonts w:ascii="Times New Roman" w:eastAsia="Times New Roman" w:hAnsi="Times New Roman" w:cs="Times New Roman"/>
                <w:sz w:val="20"/>
                <w:szCs w:val="20"/>
                <w:lang w:bidi="hr-HR"/>
              </w:rPr>
              <w:t>a</w:t>
            </w:r>
            <w:r w:rsidRPr="00C23CD2">
              <w:rPr>
                <w:rFonts w:ascii="Times New Roman" w:eastAsia="Times New Roman" w:hAnsi="Times New Roman" w:cs="Times New Roman"/>
                <w:sz w:val="20"/>
                <w:szCs w:val="20"/>
                <w:lang w:bidi="hr-HR"/>
              </w:rPr>
              <w:t xml:space="preserve"> pod a) ili b), a koji </w:t>
            </w:r>
            <w:r w:rsidR="002141D3">
              <w:rPr>
                <w:rFonts w:ascii="Times New Roman" w:eastAsia="Times New Roman" w:hAnsi="Times New Roman" w:cs="Times New Roman"/>
                <w:sz w:val="20"/>
                <w:szCs w:val="20"/>
                <w:lang w:bidi="hr-HR"/>
              </w:rPr>
              <w:t>je proizvedena</w:t>
            </w:r>
            <w:r w:rsidRPr="00C23CD2">
              <w:rPr>
                <w:rFonts w:ascii="Times New Roman" w:eastAsia="Times New Roman" w:hAnsi="Times New Roman" w:cs="Times New Roman"/>
                <w:sz w:val="20"/>
                <w:szCs w:val="20"/>
                <w:lang w:bidi="hr-HR"/>
              </w:rPr>
              <w:t xml:space="preserve"> kako bi postig</w:t>
            </w:r>
            <w:r w:rsidR="002141D3">
              <w:rPr>
                <w:rFonts w:ascii="Times New Roman" w:eastAsia="Times New Roman" w:hAnsi="Times New Roman" w:cs="Times New Roman"/>
                <w:sz w:val="20"/>
                <w:szCs w:val="20"/>
                <w:lang w:bidi="hr-HR"/>
              </w:rPr>
              <w:t>ao</w:t>
            </w:r>
            <w:r w:rsidRPr="00C23CD2">
              <w:rPr>
                <w:rFonts w:ascii="Times New Roman" w:eastAsia="Times New Roman" w:hAnsi="Times New Roman" w:cs="Times New Roman"/>
                <w:sz w:val="20"/>
                <w:szCs w:val="20"/>
                <w:lang w:bidi="hr-HR"/>
              </w:rPr>
              <w:t xml:space="preserve"> praktični učinak pomoću eksplozije ili pirotehnički učinak i d) agense i tvari koje proizvode dim. Ova definicija uključuje konvencionalno streljivo, eksplozivne materijale i uređaje za detonaciju u kopnenim, zračnim i morskim oružanim sustavima.</w:t>
            </w:r>
            <w:r w:rsidRPr="00C23CD2">
              <w:rPr>
                <w:rStyle w:val="EndnoteReference"/>
                <w:rFonts w:ascii="Times New Roman" w:eastAsia="Times New Roman" w:hAnsi="Times New Roman" w:cs="Times New Roman"/>
                <w:sz w:val="20"/>
                <w:szCs w:val="20"/>
                <w:lang w:bidi="hr-HR"/>
              </w:rPr>
              <w:endnoteReference w:id="1"/>
            </w:r>
            <w:r w:rsidRPr="00C23CD2">
              <w:rPr>
                <w:rFonts w:ascii="Times New Roman" w:eastAsia="Times New Roman" w:hAnsi="Times New Roman" w:cs="Times New Roman"/>
                <w:sz w:val="20"/>
                <w:szCs w:val="20"/>
                <w:lang w:bidi="hr-HR"/>
              </w:rPr>
              <w:t xml:space="preserve"> Streljivo i eksplozivi uključuju patrone (punjenja) iz malog oružja, granate i projektile za lako oružje, pokretne spremnike s projektilima ili granatama za protuzračne i protutenkovske sustave za jednokratnu upotrebu, protupješačke i protutenkovske ručne granate, protupješačke mine i eksplozive.</w:t>
            </w:r>
            <w:r w:rsidRPr="00C23CD2">
              <w:rPr>
                <w:rStyle w:val="EndnoteReference"/>
                <w:rFonts w:ascii="Times New Roman" w:eastAsia="Times New Roman" w:hAnsi="Times New Roman" w:cs="Times New Roman"/>
                <w:sz w:val="20"/>
                <w:szCs w:val="20"/>
                <w:lang w:bidi="hr-HR"/>
              </w:rPr>
              <w:endnoteReference w:id="2"/>
            </w:r>
            <w:r w:rsidRPr="00C23CD2">
              <w:rPr>
                <w:rFonts w:ascii="Times New Roman" w:eastAsia="Times New Roman" w:hAnsi="Times New Roman" w:cs="Times New Roman"/>
                <w:sz w:val="20"/>
                <w:szCs w:val="20"/>
                <w:lang w:bidi="hr-HR"/>
              </w:rPr>
              <w:t xml:space="preserve">  </w:t>
            </w:r>
          </w:p>
          <w:p w14:paraId="6A423E9C" w14:textId="77777777" w:rsidR="00493C38" w:rsidRPr="00C23CD2" w:rsidRDefault="00493C38" w:rsidP="00D90FAB">
            <w:pPr>
              <w:jc w:val="both"/>
              <w:rPr>
                <w:rFonts w:ascii="Times New Roman" w:hAnsi="Times New Roman" w:cs="Times New Roman"/>
                <w:sz w:val="20"/>
                <w:szCs w:val="20"/>
              </w:rPr>
            </w:pPr>
          </w:p>
          <w:p w14:paraId="0A68C54F" w14:textId="77777777" w:rsidR="00493C38" w:rsidRPr="00C23CD2" w:rsidRDefault="00493C38" w:rsidP="00D90FAB">
            <w:pPr>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U smislu vatrenog oružja, „streljivom“ se smatraju cijeli naboji ili njegovi sastavni dijelovi, uključujući čahure, inicijalne kapisle, potisno punjenje, metke i projektile koji se koriste u vatrenom oružju.</w:t>
            </w:r>
            <w:r w:rsidRPr="00C23CD2">
              <w:rPr>
                <w:rStyle w:val="EndnoteReference"/>
                <w:rFonts w:ascii="Times New Roman" w:eastAsia="Times New Roman" w:hAnsi="Times New Roman" w:cs="Times New Roman"/>
                <w:sz w:val="20"/>
                <w:szCs w:val="20"/>
                <w:lang w:bidi="hr-HR"/>
              </w:rPr>
              <w:endnoteReference w:id="3"/>
            </w:r>
          </w:p>
        </w:tc>
      </w:tr>
      <w:tr w:rsidR="00493C38" w:rsidRPr="00642762" w14:paraId="0766E623" w14:textId="77777777" w:rsidTr="00D90FAB">
        <w:tc>
          <w:tcPr>
            <w:tcW w:w="1896" w:type="dxa"/>
          </w:tcPr>
          <w:p w14:paraId="1A8BE3BC" w14:textId="31970374" w:rsidR="00493C38" w:rsidRPr="00C23CD2" w:rsidRDefault="002141D3" w:rsidP="00D90FAB">
            <w:pPr>
              <w:autoSpaceDE w:val="0"/>
              <w:autoSpaceDN w:val="0"/>
              <w:adjustRightInd w:val="0"/>
              <w:spacing w:line="276" w:lineRule="auto"/>
              <w:rPr>
                <w:rFonts w:ascii="Times New Roman" w:hAnsi="Times New Roman" w:cs="Times New Roman"/>
                <w:b/>
                <w:sz w:val="20"/>
                <w:szCs w:val="20"/>
              </w:rPr>
            </w:pPr>
            <w:r>
              <w:rPr>
                <w:rFonts w:ascii="Times New Roman" w:eastAsia="Times New Roman" w:hAnsi="Times New Roman" w:cs="Times New Roman"/>
                <w:b/>
                <w:sz w:val="20"/>
                <w:szCs w:val="20"/>
                <w:lang w:bidi="hr-HR"/>
              </w:rPr>
              <w:t>Naoružanje</w:t>
            </w:r>
          </w:p>
        </w:tc>
        <w:tc>
          <w:tcPr>
            <w:tcW w:w="7842" w:type="dxa"/>
          </w:tcPr>
          <w:p w14:paraId="03AC6337" w14:textId="77777777" w:rsidR="00493C38" w:rsidRPr="00C23CD2" w:rsidRDefault="00493C38" w:rsidP="00D90FAB">
            <w:pPr>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Sva ratna oružja, streljivo, potkomponente i sustave isporuke, uključujući borbene tenkove, oklopna borbena vozila, vojne zrakoplove, topničke sustave, vojne helikoptere, projektile, paravojnu policijsku opremu, minobacače, strojnice i kratke strojnice, puške, pištolje, protutenkovsko oružje, mine, granate, kasetne bombe i sve vrste streljiva.</w:t>
            </w:r>
          </w:p>
        </w:tc>
      </w:tr>
      <w:tr w:rsidR="00493C38" w:rsidRPr="00642762" w14:paraId="0EFC779A" w14:textId="77777777" w:rsidTr="00D90FAB">
        <w:tc>
          <w:tcPr>
            <w:tcW w:w="1896" w:type="dxa"/>
          </w:tcPr>
          <w:p w14:paraId="11978630"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Posrednik u prodaji oružja</w:t>
            </w:r>
          </w:p>
        </w:tc>
        <w:tc>
          <w:tcPr>
            <w:tcW w:w="7842" w:type="dxa"/>
          </w:tcPr>
          <w:p w14:paraId="7D039F20" w14:textId="7FFDB3CB" w:rsidR="00493C38" w:rsidRPr="00C23CD2" w:rsidRDefault="00493C38" w:rsidP="002141D3">
            <w:pPr>
              <w:jc w:val="both"/>
              <w:rPr>
                <w:rFonts w:ascii="Times New Roman" w:hAnsi="Times New Roman" w:cs="Times New Roman"/>
                <w:sz w:val="20"/>
                <w:szCs w:val="20"/>
              </w:rPr>
            </w:pPr>
            <w:r w:rsidRPr="00C23CD2">
              <w:rPr>
                <w:rFonts w:ascii="Times New Roman" w:eastAsia="Times New Roman" w:hAnsi="Times New Roman" w:cs="Times New Roman"/>
                <w:sz w:val="20"/>
                <w:szCs w:val="20"/>
                <w:shd w:val="clear" w:color="auto" w:fill="FFFFFF"/>
                <w:lang w:bidi="hr-HR"/>
              </w:rPr>
              <w:t xml:space="preserve">Ujedinjeni narodi (UN) definiraju „posrednika u prodaji oružja“ kao: „osobu ili </w:t>
            </w:r>
            <w:r w:rsidR="002141D3">
              <w:rPr>
                <w:rFonts w:ascii="Times New Roman" w:eastAsia="Times New Roman" w:hAnsi="Times New Roman" w:cs="Times New Roman"/>
                <w:sz w:val="20"/>
                <w:szCs w:val="20"/>
                <w:shd w:val="clear" w:color="auto" w:fill="FFFFFF"/>
                <w:lang w:bidi="hr-HR"/>
              </w:rPr>
              <w:t>subjekt koji</w:t>
            </w:r>
            <w:r w:rsidRPr="00C23CD2">
              <w:rPr>
                <w:rFonts w:ascii="Times New Roman" w:eastAsia="Times New Roman" w:hAnsi="Times New Roman" w:cs="Times New Roman"/>
                <w:sz w:val="20"/>
                <w:szCs w:val="20"/>
                <w:shd w:val="clear" w:color="auto" w:fill="FFFFFF"/>
                <w:lang w:bidi="hr-HR"/>
              </w:rPr>
              <w:t xml:space="preserve"> djeluje kao posrednik koji okuplja relevantne strane i uređuje ili olakšava potencijalnu transakciju [oružja] u zamjenu za neki</w:t>
            </w:r>
            <w:r w:rsidR="002141D3">
              <w:rPr>
                <w:rFonts w:ascii="Times New Roman" w:eastAsia="Times New Roman" w:hAnsi="Times New Roman" w:cs="Times New Roman"/>
                <w:sz w:val="20"/>
                <w:szCs w:val="20"/>
                <w:shd w:val="clear" w:color="auto" w:fill="FFFFFF"/>
                <w:lang w:bidi="hr-HR"/>
              </w:rPr>
              <w:t xml:space="preserve"> oblik koristi, bilo financijsku</w:t>
            </w:r>
            <w:r w:rsidRPr="00C23CD2">
              <w:rPr>
                <w:rFonts w:ascii="Times New Roman" w:eastAsia="Times New Roman" w:hAnsi="Times New Roman" w:cs="Times New Roman"/>
                <w:sz w:val="20"/>
                <w:szCs w:val="20"/>
                <w:shd w:val="clear" w:color="auto" w:fill="FFFFFF"/>
                <w:lang w:bidi="hr-HR"/>
              </w:rPr>
              <w:t xml:space="preserve"> ili korist neke druge vrste."</w:t>
            </w:r>
            <w:r w:rsidRPr="00C23CD2">
              <w:rPr>
                <w:rStyle w:val="EndnoteReference"/>
                <w:rFonts w:ascii="Times New Roman" w:eastAsia="Times New Roman" w:hAnsi="Times New Roman" w:cs="Times New Roman"/>
                <w:sz w:val="20"/>
                <w:szCs w:val="20"/>
                <w:shd w:val="clear" w:color="auto" w:fill="FFFFFF"/>
                <w:lang w:bidi="hr-HR"/>
              </w:rPr>
              <w:endnoteReference w:id="4"/>
            </w:r>
            <w:r w:rsidRPr="00C23CD2">
              <w:rPr>
                <w:rFonts w:ascii="Times New Roman" w:eastAsia="Times New Roman" w:hAnsi="Times New Roman" w:cs="Times New Roman"/>
                <w:sz w:val="20"/>
                <w:szCs w:val="20"/>
                <w:lang w:bidi="hr-HR"/>
              </w:rPr>
              <w:t xml:space="preserve"> Posrednici u trgovini oružjem pregovaraju, dogovaraju ili na drugi način olakšavaju prijenos oružja</w:t>
            </w:r>
            <w:r w:rsidR="002141D3">
              <w:rPr>
                <w:rFonts w:ascii="Times New Roman" w:eastAsia="Times New Roman" w:hAnsi="Times New Roman" w:cs="Times New Roman"/>
                <w:sz w:val="20"/>
                <w:szCs w:val="20"/>
                <w:lang w:bidi="hr-HR"/>
              </w:rPr>
              <w:t>,</w:t>
            </w:r>
            <w:r w:rsidRPr="00C23CD2">
              <w:rPr>
                <w:rFonts w:ascii="Times New Roman" w:eastAsia="Times New Roman" w:hAnsi="Times New Roman" w:cs="Times New Roman"/>
                <w:sz w:val="20"/>
                <w:szCs w:val="20"/>
                <w:lang w:bidi="hr-HR"/>
              </w:rPr>
              <w:t xml:space="preserve"> okupljajući kupce, prodavače, prijevoznike, financijere i/ili osiguravatelje kako bi ugovorili posao za neki oblik kompenzacije ili financijske nagrade.</w:t>
            </w:r>
            <w:r w:rsidRPr="00C23CD2">
              <w:rPr>
                <w:rStyle w:val="EndnoteReference"/>
                <w:rFonts w:ascii="Times New Roman" w:eastAsia="Times New Roman" w:hAnsi="Times New Roman" w:cs="Times New Roman"/>
                <w:sz w:val="20"/>
                <w:szCs w:val="20"/>
                <w:lang w:bidi="hr-HR"/>
              </w:rPr>
              <w:endnoteReference w:id="5"/>
            </w:r>
          </w:p>
        </w:tc>
      </w:tr>
      <w:tr w:rsidR="00493C38" w:rsidRPr="00642762" w14:paraId="05E59308" w14:textId="77777777" w:rsidTr="00D90FAB">
        <w:tc>
          <w:tcPr>
            <w:tcW w:w="1896" w:type="dxa"/>
          </w:tcPr>
          <w:p w14:paraId="068514DB"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 xml:space="preserve">Aktivnosti posredovanja u prodaji oružja  </w:t>
            </w:r>
          </w:p>
        </w:tc>
        <w:tc>
          <w:tcPr>
            <w:tcW w:w="7842" w:type="dxa"/>
          </w:tcPr>
          <w:p w14:paraId="3A7DDB18" w14:textId="42713A33" w:rsidR="00493C38" w:rsidRPr="00C23CD2" w:rsidRDefault="00493C38" w:rsidP="00D90FAB">
            <w:pPr>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 xml:space="preserve">Aktivnosti koje privatne osobe ili poslovni subjekti provode za proviziju, korist ili cilj, bilo financijski ili neki drugi, uključujući političke ili osobne razloge, a </w:t>
            </w:r>
            <w:r w:rsidR="002141D3">
              <w:rPr>
                <w:rFonts w:ascii="Times New Roman" w:eastAsia="Times New Roman" w:hAnsi="Times New Roman" w:cs="Times New Roman"/>
                <w:sz w:val="20"/>
                <w:szCs w:val="20"/>
                <w:lang w:bidi="hr-HR"/>
              </w:rPr>
              <w:t>odnose se na</w:t>
            </w:r>
            <w:r w:rsidRPr="00C23CD2">
              <w:rPr>
                <w:rFonts w:ascii="Times New Roman" w:eastAsia="Times New Roman" w:hAnsi="Times New Roman" w:cs="Times New Roman"/>
                <w:sz w:val="20"/>
                <w:szCs w:val="20"/>
                <w:lang w:bidi="hr-HR"/>
              </w:rPr>
              <w:t xml:space="preserve"> jednu ili više sljedećih aktivnosti: </w:t>
            </w:r>
          </w:p>
          <w:p w14:paraId="094AF0C7" w14:textId="77B1FEB9" w:rsidR="00493C38" w:rsidRPr="00C23CD2" w:rsidRDefault="00493C38" w:rsidP="00D90FAB">
            <w:pPr>
              <w:pStyle w:val="ListParagraph"/>
              <w:numPr>
                <w:ilvl w:val="0"/>
                <w:numId w:val="4"/>
              </w:numPr>
              <w:ind w:left="704"/>
              <w:jc w:val="both"/>
              <w:rPr>
                <w:rFonts w:ascii="Times New Roman" w:hAnsi="Times New Roman" w:cs="Times New Roman"/>
                <w:sz w:val="20"/>
                <w:szCs w:val="20"/>
              </w:rPr>
            </w:pPr>
            <w:r w:rsidRPr="00C23CD2">
              <w:rPr>
                <w:rFonts w:ascii="Times New Roman" w:eastAsia="Times New Roman" w:hAnsi="Times New Roman" w:cs="Times New Roman"/>
                <w:i/>
                <w:sz w:val="20"/>
                <w:szCs w:val="20"/>
                <w:lang w:bidi="hr-HR"/>
              </w:rPr>
              <w:t xml:space="preserve">Djelovanje kao posrednik u pregovaranju ili dogovaranju transakcije oružja (posla) između bilo kojeg dobavljača ili pružatelja </w:t>
            </w:r>
            <w:r w:rsidR="002141D3">
              <w:rPr>
                <w:rFonts w:ascii="Times New Roman" w:eastAsia="Times New Roman" w:hAnsi="Times New Roman" w:cs="Times New Roman"/>
                <w:i/>
                <w:sz w:val="20"/>
                <w:szCs w:val="20"/>
                <w:lang w:bidi="hr-HR"/>
              </w:rPr>
              <w:t>srodnih</w:t>
            </w:r>
            <w:r w:rsidRPr="00C23CD2">
              <w:rPr>
                <w:rFonts w:ascii="Times New Roman" w:eastAsia="Times New Roman" w:hAnsi="Times New Roman" w:cs="Times New Roman"/>
                <w:i/>
                <w:sz w:val="20"/>
                <w:szCs w:val="20"/>
                <w:lang w:bidi="hr-HR"/>
              </w:rPr>
              <w:t xml:space="preserve"> usluga i bilo kojeg kupca ili primatelja</w:t>
            </w:r>
            <w:r w:rsidRPr="00C23CD2">
              <w:rPr>
                <w:rFonts w:ascii="Times New Roman" w:eastAsia="Times New Roman" w:hAnsi="Times New Roman" w:cs="Times New Roman"/>
                <w:sz w:val="20"/>
                <w:szCs w:val="20"/>
                <w:lang w:bidi="hr-HR"/>
              </w:rPr>
              <w:t>, kao što je</w:t>
            </w:r>
            <w:r w:rsidR="002141D3">
              <w:rPr>
                <w:rFonts w:ascii="Times New Roman" w:eastAsia="Times New Roman" w:hAnsi="Times New Roman" w:cs="Times New Roman"/>
                <w:sz w:val="20"/>
                <w:szCs w:val="20"/>
                <w:lang w:bidi="hr-HR"/>
              </w:rPr>
              <w:t>:</w:t>
            </w:r>
            <w:r w:rsidRPr="00C23CD2">
              <w:rPr>
                <w:rFonts w:ascii="Times New Roman" w:eastAsia="Times New Roman" w:hAnsi="Times New Roman" w:cs="Times New Roman"/>
                <w:sz w:val="20"/>
                <w:szCs w:val="20"/>
                <w:lang w:bidi="hr-HR"/>
              </w:rPr>
              <w:t xml:space="preserve"> </w:t>
            </w:r>
          </w:p>
          <w:p w14:paraId="1B03B998" w14:textId="65D2DCDC" w:rsidR="00493C38" w:rsidRPr="00C23CD2" w:rsidRDefault="002141D3" w:rsidP="00D90FAB">
            <w:pPr>
              <w:pStyle w:val="ListParagraph"/>
              <w:numPr>
                <w:ilvl w:val="1"/>
                <w:numId w:val="5"/>
              </w:numPr>
              <w:ind w:left="1152"/>
              <w:contextualSpacing w:val="0"/>
              <w:jc w:val="both"/>
              <w:rPr>
                <w:rFonts w:ascii="Times New Roman" w:hAnsi="Times New Roman" w:cs="Times New Roman"/>
                <w:sz w:val="20"/>
                <w:szCs w:val="20"/>
              </w:rPr>
            </w:pPr>
            <w:r>
              <w:rPr>
                <w:rFonts w:ascii="Times New Roman" w:eastAsia="Times New Roman" w:hAnsi="Times New Roman" w:cs="Times New Roman"/>
                <w:sz w:val="20"/>
                <w:szCs w:val="20"/>
                <w:lang w:bidi="hr-HR"/>
              </w:rPr>
              <w:t>povezivanje kupaca i prodavača,</w:t>
            </w:r>
            <w:r w:rsidR="00493C38" w:rsidRPr="00C23CD2">
              <w:rPr>
                <w:rFonts w:ascii="Times New Roman" w:eastAsia="Times New Roman" w:hAnsi="Times New Roman" w:cs="Times New Roman"/>
                <w:sz w:val="20"/>
                <w:szCs w:val="20"/>
                <w:lang w:bidi="hr-HR"/>
              </w:rPr>
              <w:t xml:space="preserve"> </w:t>
            </w:r>
          </w:p>
          <w:p w14:paraId="78F3B1A4" w14:textId="0ECC3C9B" w:rsidR="00493C38" w:rsidRPr="00C23CD2" w:rsidRDefault="00493C38" w:rsidP="00D90FAB">
            <w:pPr>
              <w:pStyle w:val="ListParagraph"/>
              <w:numPr>
                <w:ilvl w:val="1"/>
                <w:numId w:val="5"/>
              </w:numPr>
              <w:ind w:left="1152"/>
              <w:contextualSpacing w:val="0"/>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pronalaženje i pružanje posl</w:t>
            </w:r>
            <w:r w:rsidR="002141D3">
              <w:rPr>
                <w:rFonts w:ascii="Times New Roman" w:eastAsia="Times New Roman" w:hAnsi="Times New Roman" w:cs="Times New Roman"/>
                <w:sz w:val="20"/>
                <w:szCs w:val="20"/>
                <w:lang w:bidi="hr-HR"/>
              </w:rPr>
              <w:t>ovnih prilika kupcu i prodavaču,</w:t>
            </w:r>
            <w:r w:rsidRPr="00C23CD2">
              <w:rPr>
                <w:rFonts w:ascii="Times New Roman" w:eastAsia="Times New Roman" w:hAnsi="Times New Roman" w:cs="Times New Roman"/>
                <w:sz w:val="20"/>
                <w:szCs w:val="20"/>
                <w:lang w:bidi="hr-HR"/>
              </w:rPr>
              <w:t xml:space="preserve"> i </w:t>
            </w:r>
          </w:p>
          <w:p w14:paraId="37F2CDF9" w14:textId="7A997CD2" w:rsidR="00493C38" w:rsidRPr="00C23CD2" w:rsidRDefault="00493C38" w:rsidP="00D90FAB">
            <w:pPr>
              <w:pStyle w:val="ListParagraph"/>
              <w:numPr>
                <w:ilvl w:val="1"/>
                <w:numId w:val="5"/>
              </w:numPr>
              <w:ind w:left="1152"/>
              <w:contextualSpacing w:val="0"/>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pružanje detaljnih informacija ili praktične pomoći za prove</w:t>
            </w:r>
            <w:r w:rsidR="002141D3">
              <w:rPr>
                <w:rFonts w:ascii="Times New Roman" w:eastAsia="Times New Roman" w:hAnsi="Times New Roman" w:cs="Times New Roman"/>
                <w:sz w:val="20"/>
                <w:szCs w:val="20"/>
                <w:lang w:bidi="hr-HR"/>
              </w:rPr>
              <w:t>dbu ili zaključenje transakcije,</w:t>
            </w:r>
          </w:p>
          <w:p w14:paraId="78D4AAC9" w14:textId="77777777" w:rsidR="00493C38" w:rsidRPr="00C23CD2" w:rsidRDefault="00493C38" w:rsidP="00D90FAB">
            <w:pPr>
              <w:pStyle w:val="ListParagraph"/>
              <w:numPr>
                <w:ilvl w:val="0"/>
                <w:numId w:val="4"/>
              </w:numPr>
              <w:ind w:left="704"/>
              <w:contextualSpacing w:val="0"/>
              <w:jc w:val="both"/>
              <w:rPr>
                <w:rFonts w:ascii="Times New Roman" w:hAnsi="Times New Roman" w:cs="Times New Roman"/>
                <w:sz w:val="20"/>
                <w:szCs w:val="20"/>
              </w:rPr>
            </w:pPr>
            <w:r w:rsidRPr="00C23CD2">
              <w:rPr>
                <w:rFonts w:ascii="Times New Roman" w:eastAsia="Times New Roman" w:hAnsi="Times New Roman" w:cs="Times New Roman"/>
                <w:i/>
                <w:sz w:val="20"/>
                <w:szCs w:val="20"/>
                <w:lang w:bidi="hr-HR"/>
              </w:rPr>
              <w:t>Dogovaranje ugovora i pribavljanje potrebnih dokumenata i/ili ovlaštenja u ime drugih u svrhu provođenja transakcije trgovine oružjem</w:t>
            </w:r>
            <w:r w:rsidRPr="00C23CD2">
              <w:rPr>
                <w:rFonts w:ascii="Times New Roman" w:eastAsia="Times New Roman" w:hAnsi="Times New Roman" w:cs="Times New Roman"/>
                <w:sz w:val="20"/>
                <w:szCs w:val="20"/>
                <w:lang w:bidi="hr-HR"/>
              </w:rPr>
              <w:t>, što može uključivati:</w:t>
            </w:r>
          </w:p>
          <w:p w14:paraId="11A8DF5A" w14:textId="2B64E4AD" w:rsidR="00493C38" w:rsidRPr="00C23CD2" w:rsidRDefault="00493C38" w:rsidP="00D90FAB">
            <w:pPr>
              <w:pStyle w:val="ListParagraph"/>
              <w:numPr>
                <w:ilvl w:val="0"/>
                <w:numId w:val="6"/>
              </w:numPr>
              <w:ind w:left="1152"/>
              <w:contextualSpacing w:val="0"/>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predlaganje, osmišljavanje ili olakšavanje prijenosa ugovora između kupca, p</w:t>
            </w:r>
            <w:r w:rsidR="002141D3">
              <w:rPr>
                <w:rFonts w:ascii="Times New Roman" w:eastAsia="Times New Roman" w:hAnsi="Times New Roman" w:cs="Times New Roman"/>
                <w:sz w:val="20"/>
                <w:szCs w:val="20"/>
                <w:lang w:bidi="hr-HR"/>
              </w:rPr>
              <w:t>rodavatelja i pružatelja usluga,</w:t>
            </w:r>
            <w:r w:rsidRPr="00C23CD2">
              <w:rPr>
                <w:rFonts w:ascii="Times New Roman" w:eastAsia="Times New Roman" w:hAnsi="Times New Roman" w:cs="Times New Roman"/>
                <w:sz w:val="20"/>
                <w:szCs w:val="20"/>
                <w:lang w:bidi="hr-HR"/>
              </w:rPr>
              <w:t xml:space="preserve"> </w:t>
            </w:r>
          </w:p>
          <w:p w14:paraId="168D3C9D" w14:textId="77777777" w:rsidR="00493C38" w:rsidRPr="00C23CD2" w:rsidRDefault="00493C38" w:rsidP="00D90FAB">
            <w:pPr>
              <w:pStyle w:val="ListParagraph"/>
              <w:numPr>
                <w:ilvl w:val="0"/>
                <w:numId w:val="6"/>
              </w:numPr>
              <w:ind w:left="1152"/>
              <w:contextualSpacing w:val="0"/>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 xml:space="preserve">osiguravanje razmjene druge potrebne komercijalne, uvozne, izvozne i carinske dokumentacije te dokumentacije za krajnju uporabu te plaćanja između strana i nadležnih državnih tijela; </w:t>
            </w:r>
          </w:p>
          <w:p w14:paraId="435B205C" w14:textId="77777777" w:rsidR="00493C38" w:rsidRPr="00C23CD2" w:rsidRDefault="00493C38" w:rsidP="00D90FAB">
            <w:pPr>
              <w:pStyle w:val="ListParagraph"/>
              <w:numPr>
                <w:ilvl w:val="0"/>
                <w:numId w:val="4"/>
              </w:numPr>
              <w:ind w:hanging="376"/>
              <w:contextualSpacing w:val="0"/>
              <w:jc w:val="both"/>
              <w:rPr>
                <w:rFonts w:ascii="Times New Roman" w:hAnsi="Times New Roman" w:cs="Times New Roman"/>
                <w:sz w:val="20"/>
                <w:szCs w:val="20"/>
              </w:rPr>
            </w:pPr>
            <w:r w:rsidRPr="00C23CD2">
              <w:rPr>
                <w:rFonts w:ascii="Times New Roman" w:eastAsia="Times New Roman" w:hAnsi="Times New Roman" w:cs="Times New Roman"/>
                <w:i/>
                <w:sz w:val="20"/>
                <w:szCs w:val="20"/>
                <w:lang w:bidi="hr-HR"/>
              </w:rPr>
              <w:t>Organiziranje, pregovaranje ili olakšavanje ključnih usluga za dovršenje transakcije trgovine oružjem</w:t>
            </w:r>
            <w:r w:rsidRPr="00C23CD2">
              <w:rPr>
                <w:rFonts w:ascii="Times New Roman" w:eastAsia="Times New Roman" w:hAnsi="Times New Roman" w:cs="Times New Roman"/>
                <w:sz w:val="20"/>
                <w:szCs w:val="20"/>
                <w:lang w:bidi="hr-HR"/>
              </w:rPr>
              <w:t xml:space="preserve">, poput tehničkog savjetovanja, prijevoza, špedicije, skladištenja, logistike, financiranja ili osiguranja;  </w:t>
            </w:r>
          </w:p>
          <w:p w14:paraId="19F554A6" w14:textId="77777777" w:rsidR="00493C38" w:rsidRPr="00C23CD2" w:rsidRDefault="00493C38" w:rsidP="00D90FAB">
            <w:pPr>
              <w:pStyle w:val="ListParagraph"/>
              <w:numPr>
                <w:ilvl w:val="0"/>
                <w:numId w:val="4"/>
              </w:numPr>
              <w:ind w:hanging="376"/>
              <w:contextualSpacing w:val="0"/>
              <w:jc w:val="both"/>
              <w:rPr>
                <w:rFonts w:ascii="Times New Roman" w:hAnsi="Times New Roman" w:cs="Times New Roman"/>
                <w:sz w:val="20"/>
                <w:szCs w:val="20"/>
              </w:rPr>
            </w:pPr>
            <w:r w:rsidRPr="00C23CD2">
              <w:rPr>
                <w:rFonts w:ascii="Times New Roman" w:eastAsia="Times New Roman" w:hAnsi="Times New Roman" w:cs="Times New Roman"/>
                <w:i/>
                <w:sz w:val="20"/>
                <w:szCs w:val="20"/>
                <w:lang w:bidi="hr-HR"/>
              </w:rPr>
              <w:t>Postupanje u ulozi zastupnika ili predstavnika kupaca, prodavača ili posrednika</w:t>
            </w:r>
            <w:r w:rsidRPr="00C23CD2">
              <w:rPr>
                <w:rFonts w:ascii="Times New Roman" w:eastAsia="Times New Roman" w:hAnsi="Times New Roman" w:cs="Times New Roman"/>
                <w:sz w:val="20"/>
                <w:szCs w:val="20"/>
                <w:lang w:bidi="hr-HR"/>
              </w:rPr>
              <w:t xml:space="preserve"> u svrhu pregovaranja, provedbe ili zaključenja transakcije trgovine oružjem.</w:t>
            </w:r>
            <w:r w:rsidRPr="00C23CD2">
              <w:rPr>
                <w:rStyle w:val="EndnoteReference"/>
                <w:rFonts w:ascii="Times New Roman" w:eastAsia="Times New Roman" w:hAnsi="Times New Roman" w:cs="Times New Roman"/>
                <w:sz w:val="20"/>
                <w:szCs w:val="20"/>
                <w:lang w:bidi="hr-HR"/>
              </w:rPr>
              <w:endnoteReference w:id="6"/>
            </w:r>
            <w:r w:rsidRPr="00C23CD2">
              <w:rPr>
                <w:rFonts w:ascii="Times New Roman" w:eastAsia="Times New Roman" w:hAnsi="Times New Roman" w:cs="Times New Roman"/>
                <w:sz w:val="20"/>
                <w:szCs w:val="20"/>
                <w:lang w:bidi="hr-HR"/>
              </w:rPr>
              <w:t xml:space="preserve"> </w:t>
            </w:r>
          </w:p>
          <w:p w14:paraId="73BD1501" w14:textId="77777777" w:rsidR="00493C38" w:rsidRPr="00C23CD2" w:rsidRDefault="00493C38" w:rsidP="00D90FAB">
            <w:pPr>
              <w:jc w:val="both"/>
              <w:rPr>
                <w:rFonts w:ascii="Times New Roman" w:hAnsi="Times New Roman" w:cs="Times New Roman"/>
                <w:sz w:val="20"/>
                <w:szCs w:val="20"/>
              </w:rPr>
            </w:pPr>
          </w:p>
          <w:p w14:paraId="37DBCA1D" w14:textId="58A59358" w:rsidR="00493C38" w:rsidRPr="00C23CD2" w:rsidRDefault="00493C38" w:rsidP="00D90FAB">
            <w:pPr>
              <w:jc w:val="both"/>
              <w:rPr>
                <w:rFonts w:ascii="Times New Roman" w:hAnsi="Times New Roman" w:cs="Times New Roman"/>
                <w:sz w:val="20"/>
                <w:szCs w:val="20"/>
              </w:rPr>
            </w:pPr>
            <w:r>
              <w:rPr>
                <w:rFonts w:ascii="Times New Roman" w:eastAsia="Times New Roman" w:hAnsi="Times New Roman" w:cs="Times New Roman"/>
                <w:sz w:val="20"/>
                <w:szCs w:val="20"/>
                <w:u w:val="single"/>
                <w:lang w:bidi="hr-HR"/>
              </w:rPr>
              <w:t>Napomena:</w:t>
            </w:r>
            <w:r>
              <w:rPr>
                <w:rFonts w:ascii="Times New Roman" w:eastAsia="Times New Roman" w:hAnsi="Times New Roman" w:cs="Times New Roman"/>
                <w:i/>
                <w:sz w:val="20"/>
                <w:szCs w:val="20"/>
                <w:lang w:bidi="hr-HR"/>
              </w:rPr>
              <w:t xml:space="preserve"> Postoje brojne međunarodno prihvaćene definicije "posredovanja u prodaji oružja" i "aktivnosti posredovanja u prodaji oružja". Većina međunarodnih definicija, poput definicija Organizacije za europsku sigurnost i suradnju (OESS) i Zajedničkog stajališta o posredovanju Europske unije (EU), uključuje pregovaranje ili dogovaranje transakcija i trgovanje (kupovinu i prodaju)</w:t>
            </w:r>
            <w:r w:rsidR="002141D3">
              <w:rPr>
                <w:rFonts w:ascii="Times New Roman" w:eastAsia="Times New Roman" w:hAnsi="Times New Roman" w:cs="Times New Roman"/>
                <w:i/>
                <w:sz w:val="20"/>
                <w:szCs w:val="20"/>
                <w:lang w:bidi="hr-HR"/>
              </w:rPr>
              <w:t>,</w:t>
            </w:r>
            <w:bookmarkStart w:id="0" w:name="_GoBack"/>
            <w:bookmarkEnd w:id="0"/>
            <w:r>
              <w:rPr>
                <w:rFonts w:ascii="Times New Roman" w:eastAsia="Times New Roman" w:hAnsi="Times New Roman" w:cs="Times New Roman"/>
                <w:i/>
                <w:sz w:val="20"/>
                <w:szCs w:val="20"/>
                <w:lang w:bidi="hr-HR"/>
              </w:rPr>
              <w:t xml:space="preserve"> bez obzira djeluje li osoba ili subjekt koji to čini kao posrednik.</w:t>
            </w:r>
            <w:r w:rsidRPr="00C23CD2">
              <w:rPr>
                <w:rStyle w:val="EndnoteReference"/>
                <w:rFonts w:ascii="Times New Roman" w:eastAsia="Times New Roman" w:hAnsi="Times New Roman" w:cs="Times New Roman"/>
                <w:sz w:val="20"/>
                <w:szCs w:val="20"/>
                <w:lang w:bidi="hr-HR"/>
              </w:rPr>
              <w:endnoteReference w:id="7"/>
            </w:r>
            <w:r>
              <w:rPr>
                <w:rFonts w:ascii="Times New Roman" w:eastAsia="Times New Roman" w:hAnsi="Times New Roman" w:cs="Times New Roman"/>
                <w:i/>
                <w:sz w:val="20"/>
                <w:szCs w:val="20"/>
                <w:lang w:bidi="hr-HR"/>
              </w:rPr>
              <w:t xml:space="preserve"> Šira definicija "aktivnosti posredovanja u prodaji oružja" odražava stvarnost u </w:t>
            </w:r>
            <w:r>
              <w:rPr>
                <w:rFonts w:ascii="Times New Roman" w:eastAsia="Times New Roman" w:hAnsi="Times New Roman" w:cs="Times New Roman"/>
                <w:i/>
                <w:sz w:val="20"/>
                <w:szCs w:val="20"/>
                <w:lang w:bidi="hr-HR"/>
              </w:rPr>
              <w:lastRenderedPageBreak/>
              <w:t>poslovnim aktivnostima posredovanja u prodaji oružja i uzima u obzir različite usluge koje posrednici u prodaji oružja mogu pružiti.</w:t>
            </w:r>
            <w:r w:rsidRPr="00C23CD2">
              <w:rPr>
                <w:rStyle w:val="EndnoteReference"/>
                <w:rFonts w:ascii="Times New Roman" w:eastAsia="Times New Roman" w:hAnsi="Times New Roman" w:cs="Times New Roman"/>
                <w:sz w:val="20"/>
                <w:szCs w:val="20"/>
                <w:lang w:bidi="hr-HR"/>
              </w:rPr>
              <w:endnoteReference w:id="8"/>
            </w:r>
            <w:r>
              <w:rPr>
                <w:rFonts w:ascii="Times New Roman" w:eastAsia="Times New Roman" w:hAnsi="Times New Roman" w:cs="Times New Roman"/>
                <w:i/>
                <w:sz w:val="20"/>
                <w:szCs w:val="20"/>
                <w:lang w:bidi="hr-HR"/>
              </w:rPr>
              <w:t xml:space="preserve"> Svijest i regulacija ovih aktivnosti važni su elementi sveobuhvatne i učinkovite kontrole posredovanja u prodaji oružja i suzbijanja nezakonitog prijenosa oružja.</w:t>
            </w:r>
          </w:p>
        </w:tc>
      </w:tr>
      <w:tr w:rsidR="00493C38" w:rsidRPr="00642762" w14:paraId="5F567DD3" w14:textId="77777777" w:rsidTr="00D90FAB">
        <w:tc>
          <w:tcPr>
            <w:tcW w:w="1896" w:type="dxa"/>
          </w:tcPr>
          <w:p w14:paraId="53463AE0"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lastRenderedPageBreak/>
              <w:t>Trgovac oružjem</w:t>
            </w:r>
          </w:p>
        </w:tc>
        <w:tc>
          <w:tcPr>
            <w:tcW w:w="7842" w:type="dxa"/>
          </w:tcPr>
          <w:p w14:paraId="484D7A37" w14:textId="77777777" w:rsidR="00493C38" w:rsidRPr="00C23CD2" w:rsidRDefault="00493C38" w:rsidP="00D90FAB">
            <w:pPr>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Fizička ili pravna osoba koja kupuje oružje u svrhu preprodaje ili prodaje oružja koje je već u njezinom vlasništvu.</w:t>
            </w:r>
            <w:r w:rsidRPr="00C23CD2">
              <w:rPr>
                <w:rStyle w:val="EndnoteReference"/>
                <w:rFonts w:ascii="Times New Roman" w:eastAsia="Times New Roman" w:hAnsi="Times New Roman" w:cs="Times New Roman"/>
                <w:sz w:val="20"/>
                <w:szCs w:val="20"/>
                <w:lang w:bidi="hr-HR"/>
              </w:rPr>
              <w:endnoteReference w:id="9"/>
            </w:r>
          </w:p>
        </w:tc>
      </w:tr>
      <w:tr w:rsidR="00493C38" w:rsidRPr="00642762" w14:paraId="5775EC70" w14:textId="77777777" w:rsidTr="00D90FAB">
        <w:tc>
          <w:tcPr>
            <w:tcW w:w="1896" w:type="dxa"/>
          </w:tcPr>
          <w:p w14:paraId="1425EC6F"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Embargo na oružje:</w:t>
            </w:r>
          </w:p>
        </w:tc>
        <w:tc>
          <w:tcPr>
            <w:tcW w:w="7842" w:type="dxa"/>
          </w:tcPr>
          <w:p w14:paraId="0DEC1D91" w14:textId="77777777" w:rsidR="00493C38" w:rsidRPr="00C23CD2" w:rsidRDefault="00493C38" w:rsidP="00D90FAB">
            <w:pPr>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Nacionalne, međunarodne ili regionalne politike za sprječavanje izravne ili neizravne opskrbe, prodaje ili prijenosa oružja popisanim zemljama, teritorijima, pojedincima, skupinama, poduzećima i subjektima iz njihovih teritorija ili od strane njihovih državljana izvan njihovih teritorija ili korištenja njihove zastave plovila ili zrakoplova, oružja i svih vrsta srodnih materijala, pomoći ili obuke u vezi s vojnim aktivnostima.</w:t>
            </w:r>
            <w:r w:rsidRPr="00C23CD2">
              <w:rPr>
                <w:rStyle w:val="EndnoteReference"/>
                <w:rFonts w:ascii="Times New Roman" w:eastAsia="Times New Roman" w:hAnsi="Times New Roman" w:cs="Times New Roman"/>
                <w:sz w:val="20"/>
                <w:szCs w:val="20"/>
                <w:lang w:bidi="hr-HR"/>
              </w:rPr>
              <w:endnoteReference w:id="10"/>
            </w:r>
            <w:r w:rsidRPr="00C23CD2">
              <w:rPr>
                <w:rFonts w:ascii="Times New Roman" w:eastAsia="Times New Roman" w:hAnsi="Times New Roman" w:cs="Times New Roman"/>
                <w:sz w:val="20"/>
                <w:szCs w:val="20"/>
                <w:lang w:bidi="hr-HR"/>
              </w:rPr>
              <w:t xml:space="preserve">  </w:t>
            </w:r>
          </w:p>
          <w:p w14:paraId="363702D7" w14:textId="77777777" w:rsidR="00493C38" w:rsidRPr="00C23CD2" w:rsidRDefault="00493C38" w:rsidP="00D90FAB">
            <w:pPr>
              <w:jc w:val="both"/>
              <w:rPr>
                <w:rFonts w:ascii="Times New Roman" w:hAnsi="Times New Roman" w:cs="Times New Roman"/>
                <w:sz w:val="20"/>
                <w:szCs w:val="20"/>
              </w:rPr>
            </w:pPr>
          </w:p>
          <w:p w14:paraId="7774D0A9" w14:textId="77777777" w:rsidR="00493C38" w:rsidRPr="00C23CD2" w:rsidRDefault="00493C38" w:rsidP="00D90FAB">
            <w:pPr>
              <w:jc w:val="both"/>
              <w:rPr>
                <w:rFonts w:ascii="Times New Roman" w:hAnsi="Times New Roman" w:cs="Times New Roman"/>
                <w:sz w:val="20"/>
                <w:szCs w:val="20"/>
              </w:rPr>
            </w:pPr>
            <w:r w:rsidRPr="00C23CD2">
              <w:rPr>
                <w:rFonts w:ascii="Times New Roman" w:eastAsia="Times New Roman" w:hAnsi="Times New Roman" w:cs="Times New Roman"/>
                <w:b/>
                <w:sz w:val="20"/>
                <w:szCs w:val="20"/>
                <w:lang w:bidi="hr-HR"/>
              </w:rPr>
              <w:t>Embargo UN-a</w:t>
            </w:r>
            <w:r w:rsidRPr="00C23CD2">
              <w:rPr>
                <w:rFonts w:ascii="Times New Roman" w:eastAsia="Times New Roman" w:hAnsi="Times New Roman" w:cs="Times New Roman"/>
                <w:sz w:val="20"/>
                <w:szCs w:val="20"/>
                <w:lang w:bidi="hr-HR"/>
              </w:rPr>
              <w:t xml:space="preserve"> se sastoji od mjera koje mogu uključivati potpun ili djelomični prekid gospodarskih odnosa i željezničkih, morskih, zračnih, poštanskih, telegrafskih, radijskih i drugih sredstava komunikacije te prekid diplomatskih odnosa koji je obvezan i obvezujući za sve države članice UN-a u skladu s Poglavljem VII.</w:t>
            </w:r>
            <w:r w:rsidRPr="00C23CD2">
              <w:rPr>
                <w:rStyle w:val="EndnoteReference"/>
                <w:rFonts w:ascii="Times New Roman" w:eastAsia="Times New Roman" w:hAnsi="Times New Roman" w:cs="Times New Roman"/>
                <w:sz w:val="20"/>
                <w:szCs w:val="20"/>
                <w:lang w:bidi="hr-HR"/>
              </w:rPr>
              <w:endnoteReference w:id="11"/>
            </w:r>
          </w:p>
        </w:tc>
      </w:tr>
      <w:tr w:rsidR="00493C38" w:rsidRPr="00642762" w14:paraId="5BD89767" w14:textId="77777777" w:rsidTr="00D90FAB">
        <w:tc>
          <w:tcPr>
            <w:tcW w:w="1896" w:type="dxa"/>
          </w:tcPr>
          <w:p w14:paraId="61FC6711"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 xml:space="preserve">Trgovina oružjem  </w:t>
            </w:r>
          </w:p>
        </w:tc>
        <w:tc>
          <w:tcPr>
            <w:tcW w:w="7842" w:type="dxa"/>
          </w:tcPr>
          <w:p w14:paraId="2B0AE3F9" w14:textId="77777777" w:rsidR="00493C38" w:rsidRPr="00C23CD2" w:rsidRDefault="00493C38" w:rsidP="00D90FAB">
            <w:pPr>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Međunarodna trgovina i prijenos svih ratnih oružja, streljiva, potkomponenti i sustava isporuke te ostale robe dizajnirane ili namijenjene vojnoj uporabi. "Trgovina oružjem" se također sastoji od vojnih službi kao što su obuka, opskrbne radnje, popravak opreme, tehnička pomoć i izgradnja obrambenih proizvodnih postrojenja.</w:t>
            </w:r>
            <w:r w:rsidRPr="00C23CD2">
              <w:rPr>
                <w:rStyle w:val="EndnoteReference"/>
                <w:rFonts w:ascii="Times New Roman" w:eastAsia="Times New Roman" w:hAnsi="Times New Roman" w:cs="Times New Roman"/>
                <w:sz w:val="20"/>
                <w:szCs w:val="20"/>
                <w:lang w:bidi="hr-HR"/>
              </w:rPr>
              <w:endnoteReference w:id="12"/>
            </w:r>
          </w:p>
        </w:tc>
      </w:tr>
      <w:tr w:rsidR="00493C38" w:rsidRPr="00642762" w14:paraId="0CD17448" w14:textId="77777777" w:rsidTr="00D90FAB">
        <w:tc>
          <w:tcPr>
            <w:tcW w:w="1896" w:type="dxa"/>
          </w:tcPr>
          <w:p w14:paraId="1F35435B"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 xml:space="preserve">Prijenos oružja  </w:t>
            </w:r>
          </w:p>
        </w:tc>
        <w:tc>
          <w:tcPr>
            <w:tcW w:w="7842" w:type="dxa"/>
          </w:tcPr>
          <w:p w14:paraId="5965B3FA" w14:textId="77777777" w:rsidR="00493C38" w:rsidRPr="00C23CD2" w:rsidRDefault="00493C38" w:rsidP="00D90FAB">
            <w:pPr>
              <w:jc w:val="both"/>
              <w:rPr>
                <w:rFonts w:ascii="Times New Roman" w:hAnsi="Times New Roman" w:cs="Times New Roman"/>
                <w:b/>
                <w:sz w:val="20"/>
                <w:szCs w:val="20"/>
              </w:rPr>
            </w:pPr>
            <w:r w:rsidRPr="00C23CD2">
              <w:rPr>
                <w:rFonts w:ascii="Times New Roman" w:eastAsia="Times New Roman" w:hAnsi="Times New Roman" w:cs="Times New Roman"/>
                <w:sz w:val="20"/>
                <w:szCs w:val="20"/>
                <w:lang w:bidi="hr-HR"/>
              </w:rPr>
              <w:t>Svaka transakcija koja rezultira promjenom prava na i/ili kontrole nad svim ratnim oružjem, streljivom, potkomponentama i sustavima isporuke i drugom robom namijenjenom vojnoj uporabi te bilo kakvim fizičkim premještanjem takve robe iz jedne pravne nadležnosti u drugu. Prijenosi uključuju transakcije koje se provode u zamjenu za izravno plaćanje, kredit, inozemnu pomoć, bespovratna sredstva i robu primljenu uslijed offset sporazuma ili bartera. Prijenosi oružja također uključuju fizičke ili nematerijalne prijenose stručnosti, informacija, dizajna, nacrta, tehnologije ili robe na temelju licencijskih ugovora i ugovora o zajedničkoj proizvodnji, dogovora o zakupu i isporuke oružje za koje dobavljač ne prima financijsku naknadu, robu ili usluge. Pružanje stručnog znanja ili vještina o uporabi oružja od strane jedne ili više osoba drugoj osobi u različitoj jurisdikciji također predstavlja nematerijalni prijenos.</w:t>
            </w:r>
            <w:r w:rsidRPr="00C23CD2">
              <w:rPr>
                <w:rStyle w:val="EndnoteReference"/>
                <w:rFonts w:ascii="Times New Roman" w:eastAsia="Times New Roman" w:hAnsi="Times New Roman" w:cs="Times New Roman"/>
                <w:sz w:val="20"/>
                <w:szCs w:val="20"/>
                <w:lang w:bidi="hr-HR"/>
              </w:rPr>
              <w:endnoteReference w:id="13"/>
            </w:r>
            <w:r w:rsidRPr="00C23CD2">
              <w:rPr>
                <w:rFonts w:ascii="Times New Roman" w:eastAsia="Times New Roman" w:hAnsi="Times New Roman" w:cs="Times New Roman"/>
                <w:sz w:val="20"/>
                <w:szCs w:val="20"/>
                <w:lang w:bidi="hr-HR"/>
              </w:rPr>
              <w:t xml:space="preserve"> Prijenos može biti: </w:t>
            </w:r>
          </w:p>
          <w:p w14:paraId="2DB66752" w14:textId="77777777" w:rsidR="00493C38" w:rsidRPr="00C23CD2" w:rsidRDefault="00493C38" w:rsidP="00D90FAB">
            <w:pPr>
              <w:pStyle w:val="AutoCorrect"/>
              <w:numPr>
                <w:ilvl w:val="0"/>
                <w:numId w:val="7"/>
              </w:numPr>
              <w:jc w:val="both"/>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Zakonito/legitimno:</w:t>
            </w:r>
            <w:r w:rsidRPr="00C23CD2">
              <w:rPr>
                <w:rFonts w:ascii="Times New Roman" w:eastAsia="Times New Roman" w:hAnsi="Times New Roman" w:cs="Times New Roman"/>
                <w:sz w:val="20"/>
                <w:szCs w:val="20"/>
                <w:lang w:bidi="hr-HR"/>
              </w:rPr>
              <w:t xml:space="preserve"> Prijenos oružja obavljen uz aktivno ili pasivno uključenje nacionalne vlade ili njenog ovlaštenog zastupnika, u skladu s nacionalnim i međunarodnim pravom;</w:t>
            </w:r>
            <w:r w:rsidRPr="00C23CD2">
              <w:rPr>
                <w:rStyle w:val="EndnoteReference"/>
                <w:rFonts w:ascii="Times New Roman" w:eastAsia="Times New Roman" w:hAnsi="Times New Roman" w:cs="Times New Roman"/>
                <w:sz w:val="20"/>
                <w:szCs w:val="20"/>
                <w:lang w:bidi="hr-HR"/>
              </w:rPr>
              <w:endnoteReference w:id="14"/>
            </w:r>
            <w:r w:rsidRPr="00C23CD2">
              <w:rPr>
                <w:rFonts w:ascii="Times New Roman" w:eastAsia="Times New Roman" w:hAnsi="Times New Roman" w:cs="Times New Roman"/>
                <w:sz w:val="20"/>
                <w:szCs w:val="20"/>
                <w:lang w:bidi="hr-HR"/>
              </w:rPr>
              <w:t xml:space="preserve"> </w:t>
            </w:r>
          </w:p>
          <w:p w14:paraId="49A68509" w14:textId="77777777" w:rsidR="00493C38" w:rsidRPr="00C23CD2" w:rsidRDefault="00493C38" w:rsidP="00D90FAB">
            <w:pPr>
              <w:pStyle w:val="AutoCorrect"/>
              <w:numPr>
                <w:ilvl w:val="0"/>
                <w:numId w:val="7"/>
              </w:numPr>
              <w:jc w:val="both"/>
              <w:rPr>
                <w:rFonts w:ascii="Times New Roman" w:hAnsi="Times New Roman" w:cs="Times New Roman"/>
                <w:sz w:val="20"/>
                <w:szCs w:val="20"/>
              </w:rPr>
            </w:pPr>
            <w:r w:rsidRPr="00C23CD2">
              <w:rPr>
                <w:rFonts w:ascii="Times New Roman" w:eastAsia="Times New Roman" w:hAnsi="Times New Roman" w:cs="Times New Roman"/>
                <w:b/>
                <w:sz w:val="20"/>
                <w:szCs w:val="20"/>
                <w:lang w:bidi="hr-HR"/>
              </w:rPr>
              <w:t>Nezakonito/nedozvoljeno/"crno tržište":</w:t>
            </w:r>
            <w:r w:rsidRPr="00C23CD2">
              <w:rPr>
                <w:rFonts w:ascii="Times New Roman" w:eastAsia="Times New Roman" w:hAnsi="Times New Roman" w:cs="Times New Roman"/>
                <w:sz w:val="20"/>
                <w:szCs w:val="20"/>
                <w:lang w:bidi="hr-HR"/>
              </w:rPr>
              <w:t xml:space="preserve"> Prijenos oružja izvršen kao očito kršenje nacionalnih i/ili međunarodnih zakona i bez službenog pristanka ili odobrenja vlade;</w:t>
            </w:r>
            <w:r w:rsidRPr="00C23CD2">
              <w:rPr>
                <w:rStyle w:val="EndnoteReference"/>
                <w:rFonts w:ascii="Times New Roman" w:eastAsia="Times New Roman" w:hAnsi="Times New Roman" w:cs="Times New Roman"/>
                <w:sz w:val="20"/>
                <w:szCs w:val="20"/>
                <w:lang w:bidi="hr-HR"/>
              </w:rPr>
              <w:endnoteReference w:id="15"/>
            </w:r>
            <w:r w:rsidRPr="00C23CD2">
              <w:rPr>
                <w:rFonts w:ascii="Times New Roman" w:eastAsia="Times New Roman" w:hAnsi="Times New Roman" w:cs="Times New Roman"/>
                <w:sz w:val="20"/>
                <w:szCs w:val="20"/>
                <w:lang w:bidi="hr-HR"/>
              </w:rPr>
              <w:t xml:space="preserve"> </w:t>
            </w:r>
          </w:p>
          <w:p w14:paraId="144A98B8" w14:textId="77777777" w:rsidR="00493C38" w:rsidRPr="00C23CD2" w:rsidRDefault="00493C38" w:rsidP="00D90FAB">
            <w:pPr>
              <w:pStyle w:val="AutoCorrect"/>
              <w:numPr>
                <w:ilvl w:val="0"/>
                <w:numId w:val="7"/>
              </w:numPr>
              <w:jc w:val="both"/>
              <w:rPr>
                <w:rFonts w:ascii="Times New Roman" w:hAnsi="Times New Roman" w:cs="Times New Roman"/>
                <w:sz w:val="20"/>
                <w:szCs w:val="20"/>
              </w:rPr>
            </w:pPr>
            <w:r w:rsidRPr="00C23CD2">
              <w:rPr>
                <w:rFonts w:ascii="Times New Roman" w:eastAsia="Times New Roman" w:hAnsi="Times New Roman" w:cs="Times New Roman"/>
                <w:b/>
                <w:sz w:val="20"/>
                <w:szCs w:val="20"/>
                <w:lang w:bidi="hr-HR"/>
              </w:rPr>
              <w:t>"Sivo tržište":</w:t>
            </w:r>
            <w:r w:rsidRPr="00C23CD2">
              <w:rPr>
                <w:rFonts w:ascii="Times New Roman" w:eastAsia="Times New Roman" w:hAnsi="Times New Roman" w:cs="Times New Roman"/>
                <w:sz w:val="20"/>
                <w:szCs w:val="20"/>
                <w:lang w:bidi="hr-HR"/>
              </w:rPr>
              <w:t xml:space="preserve"> Prijenos koji provodi vlada, njeni zastupnici ili pojedinac koji namjerno iskorištava propuste nacionalnih i/ili međunarodnim zakonima kako bi namjerno zaobišao kontrolu trgovine oružjem.</w:t>
            </w:r>
            <w:r w:rsidRPr="00C23CD2">
              <w:rPr>
                <w:rStyle w:val="EndnoteReference"/>
                <w:rFonts w:ascii="Times New Roman" w:eastAsia="Times New Roman" w:hAnsi="Times New Roman" w:cs="Times New Roman"/>
                <w:sz w:val="20"/>
                <w:szCs w:val="20"/>
                <w:lang w:bidi="hr-HR"/>
              </w:rPr>
              <w:endnoteReference w:id="16"/>
            </w:r>
          </w:p>
        </w:tc>
      </w:tr>
      <w:tr w:rsidR="00493C38" w:rsidRPr="00642762" w14:paraId="7C98C807" w14:textId="77777777" w:rsidTr="00D90FAB">
        <w:tc>
          <w:tcPr>
            <w:tcW w:w="1896" w:type="dxa"/>
          </w:tcPr>
          <w:p w14:paraId="5A66B2CA"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Sustav isporuke</w:t>
            </w:r>
          </w:p>
        </w:tc>
        <w:tc>
          <w:tcPr>
            <w:tcW w:w="7842" w:type="dxa"/>
          </w:tcPr>
          <w:p w14:paraId="30E5D7E9" w14:textId="77777777" w:rsidR="00493C38" w:rsidRPr="00C23CD2" w:rsidRDefault="00493C38" w:rsidP="00D90FAB">
            <w:pPr>
              <w:autoSpaceDE w:val="0"/>
              <w:autoSpaceDN w:val="0"/>
              <w:adjustRightInd w:val="0"/>
              <w:ind w:left="-18"/>
              <w:jc w:val="both"/>
              <w:rPr>
                <w:rFonts w:ascii="Times New Roman" w:hAnsi="Times New Roman" w:cs="Times New Roman"/>
                <w:sz w:val="20"/>
                <w:szCs w:val="20"/>
              </w:rPr>
            </w:pPr>
            <w:r w:rsidRPr="00C23CD2">
              <w:rPr>
                <w:rFonts w:ascii="Times New Roman" w:eastAsia="Times New Roman" w:hAnsi="Times New Roman" w:cs="Times New Roman"/>
                <w:sz w:val="20"/>
                <w:szCs w:val="20"/>
                <w:shd w:val="clear" w:color="auto" w:fill="FFFFFF"/>
                <w:lang w:bidi="hr-HR"/>
              </w:rPr>
              <w:t>Projektili, rakete i drugi bespilotni sustavi koji su sposobni i posebno dizajnirani za isporuku nuklearnog, kemijskog, biološkog ili konvencionalnog oružja.</w:t>
            </w:r>
            <w:r w:rsidRPr="00C23CD2">
              <w:rPr>
                <w:rStyle w:val="EndnoteReference"/>
                <w:rFonts w:ascii="Times New Roman" w:eastAsia="Times New Roman" w:hAnsi="Times New Roman" w:cs="Times New Roman"/>
                <w:sz w:val="20"/>
                <w:szCs w:val="20"/>
                <w:shd w:val="clear" w:color="auto" w:fill="FFFFFF"/>
                <w:lang w:bidi="hr-HR"/>
              </w:rPr>
              <w:endnoteReference w:id="17"/>
            </w:r>
          </w:p>
        </w:tc>
      </w:tr>
      <w:tr w:rsidR="00493C38" w:rsidRPr="00642762" w14:paraId="2EAB496E" w14:textId="77777777" w:rsidTr="00D90FAB">
        <w:tc>
          <w:tcPr>
            <w:tcW w:w="1896" w:type="dxa"/>
          </w:tcPr>
          <w:p w14:paraId="0C3EB234"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Potvrda o primitku robe s dvojnom namjenom (DVC)</w:t>
            </w:r>
          </w:p>
        </w:tc>
        <w:tc>
          <w:tcPr>
            <w:tcW w:w="7842" w:type="dxa"/>
          </w:tcPr>
          <w:p w14:paraId="5C471987" w14:textId="77777777" w:rsidR="00493C38" w:rsidRPr="00C23CD2" w:rsidRDefault="00493C38" w:rsidP="00D90FAB">
            <w:pPr>
              <w:pStyle w:val="ListParagraph"/>
              <w:ind w:left="-18"/>
              <w:contextualSpacing w:val="0"/>
              <w:jc w:val="both"/>
              <w:rPr>
                <w:rFonts w:ascii="Times New Roman" w:hAnsi="Times New Roman" w:cs="Times New Roman"/>
                <w:b/>
                <w:sz w:val="20"/>
                <w:szCs w:val="20"/>
              </w:rPr>
            </w:pPr>
            <w:r w:rsidRPr="00C23CD2">
              <w:rPr>
                <w:rFonts w:ascii="Times New Roman" w:eastAsia="Times New Roman" w:hAnsi="Times New Roman" w:cs="Times New Roman"/>
                <w:sz w:val="20"/>
                <w:szCs w:val="20"/>
                <w:lang w:bidi="hr-HR"/>
              </w:rPr>
              <w:t>„Dokument koji je izdala vlada zemlje konačnog odredišta nakon što je izvoz obavljen i roba je ušla u izvoznu pravnu nadležnost zemlje primatelja ili ju je uvoznik na neki drugi način evidentirao kod države koja je izdala potvrdu.“</w:t>
            </w:r>
            <w:r w:rsidRPr="00C23CD2">
              <w:rPr>
                <w:rStyle w:val="EndnoteReference"/>
                <w:rFonts w:ascii="Times New Roman" w:eastAsia="Times New Roman" w:hAnsi="Times New Roman" w:cs="Times New Roman"/>
                <w:sz w:val="20"/>
                <w:szCs w:val="20"/>
                <w:lang w:bidi="hr-HR"/>
              </w:rPr>
              <w:endnoteReference w:id="18"/>
            </w:r>
          </w:p>
        </w:tc>
      </w:tr>
      <w:tr w:rsidR="00493C38" w:rsidRPr="00642762" w14:paraId="02038262" w14:textId="77777777" w:rsidTr="00D90FAB">
        <w:tc>
          <w:tcPr>
            <w:tcW w:w="1896" w:type="dxa"/>
          </w:tcPr>
          <w:p w14:paraId="7C2CBE53"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Odredište s rizikom preusmjeravanja</w:t>
            </w:r>
          </w:p>
        </w:tc>
        <w:tc>
          <w:tcPr>
            <w:tcW w:w="7842" w:type="dxa"/>
          </w:tcPr>
          <w:p w14:paraId="5B8E6D49" w14:textId="77777777" w:rsidR="00493C38" w:rsidRPr="00C23CD2" w:rsidRDefault="00493C38" w:rsidP="00D90FAB">
            <w:pPr>
              <w:pStyle w:val="ListParagraph"/>
              <w:ind w:left="0"/>
              <w:contextualSpacing w:val="0"/>
              <w:jc w:val="both"/>
              <w:rPr>
                <w:rFonts w:ascii="Times New Roman" w:hAnsi="Times New Roman" w:cs="Times New Roman"/>
                <w:b/>
                <w:sz w:val="20"/>
                <w:szCs w:val="20"/>
              </w:rPr>
            </w:pPr>
            <w:r w:rsidRPr="00C23CD2">
              <w:rPr>
                <w:rFonts w:ascii="Times New Roman" w:eastAsia="Times New Roman" w:hAnsi="Times New Roman" w:cs="Times New Roman"/>
                <w:sz w:val="20"/>
                <w:szCs w:val="20"/>
                <w:lang w:bidi="hr-HR"/>
              </w:rPr>
              <w:t>Države se označavaju kao "odredišta s rizikom preusmjeravanja" ako se utvrdi da dozvoljavaju značajno preusmjeravanje robe, kako kontrolirane, tako i nekontrolirane, kroz svoju u drugu državu koja podliježe sankcijama ili embargu.</w:t>
            </w:r>
            <w:r w:rsidRPr="00C23CD2">
              <w:rPr>
                <w:rStyle w:val="EndnoteReference"/>
                <w:rFonts w:ascii="Times New Roman" w:eastAsia="Times New Roman" w:hAnsi="Times New Roman" w:cs="Times New Roman"/>
                <w:sz w:val="20"/>
                <w:szCs w:val="20"/>
                <w:lang w:bidi="hr-HR"/>
              </w:rPr>
              <w:endnoteReference w:id="19"/>
            </w:r>
            <w:r w:rsidRPr="00C23CD2">
              <w:rPr>
                <w:rFonts w:ascii="Times New Roman" w:eastAsia="Times New Roman" w:hAnsi="Times New Roman" w:cs="Times New Roman"/>
                <w:b/>
                <w:sz w:val="20"/>
                <w:szCs w:val="20"/>
                <w:lang w:bidi="hr-HR"/>
              </w:rPr>
              <w:t xml:space="preserve"> </w:t>
            </w:r>
          </w:p>
        </w:tc>
      </w:tr>
      <w:tr w:rsidR="00493C38" w:rsidRPr="00642762" w14:paraId="101BD759" w14:textId="77777777" w:rsidTr="00D90FAB">
        <w:tc>
          <w:tcPr>
            <w:tcW w:w="1896" w:type="dxa"/>
          </w:tcPr>
          <w:p w14:paraId="5BAD9C8D"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 xml:space="preserve">Rizični krajnji korisnik/korisnici:  </w:t>
            </w:r>
          </w:p>
        </w:tc>
        <w:tc>
          <w:tcPr>
            <w:tcW w:w="7842" w:type="dxa"/>
          </w:tcPr>
          <w:p w14:paraId="2E5BBAD9" w14:textId="77777777" w:rsidR="00493C38" w:rsidRPr="00C23CD2" w:rsidRDefault="00493C38" w:rsidP="00D90FAB">
            <w:pPr>
              <w:pStyle w:val="ListParagraph"/>
              <w:ind w:left="-18"/>
              <w:contextualSpacing w:val="0"/>
              <w:jc w:val="both"/>
              <w:rPr>
                <w:rFonts w:ascii="Times New Roman" w:hAnsi="Times New Roman" w:cs="Times New Roman"/>
                <w:b/>
                <w:sz w:val="20"/>
                <w:szCs w:val="20"/>
              </w:rPr>
            </w:pPr>
            <w:r w:rsidRPr="00C23CD2">
              <w:rPr>
                <w:rFonts w:ascii="Times New Roman" w:eastAsia="Times New Roman" w:hAnsi="Times New Roman" w:cs="Times New Roman"/>
                <w:sz w:val="20"/>
                <w:szCs w:val="20"/>
                <w:lang w:bidi="hr-HR"/>
              </w:rPr>
              <w:t>Pojedinci, subjekti i vlade podvrgnuti međunarodnim, regionalnim ili nacionalnim sankcijama, ograničenjima ili embargom na oružje. Rizični krajnji korisnici uključuju države koje podliježu embargu na oružje Ujedinjenih naroda i/ili OESS-a kao i sve pojedince ili subjekte koje je Vijeće sigurnosti UN-a označilo kao strane s ograničenim pravima.</w:t>
            </w:r>
          </w:p>
        </w:tc>
      </w:tr>
      <w:tr w:rsidR="00493C38" w:rsidRPr="00642762" w14:paraId="0DC16A6E" w14:textId="77777777" w:rsidTr="00D90FAB">
        <w:tc>
          <w:tcPr>
            <w:tcW w:w="1896" w:type="dxa"/>
          </w:tcPr>
          <w:p w14:paraId="172133DF"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Eksplozivi</w:t>
            </w:r>
          </w:p>
        </w:tc>
        <w:tc>
          <w:tcPr>
            <w:tcW w:w="7842" w:type="dxa"/>
          </w:tcPr>
          <w:p w14:paraId="6FCFB0E0" w14:textId="77777777" w:rsidR="00493C38" w:rsidRPr="00C23CD2" w:rsidRDefault="00493C38" w:rsidP="00D90FAB">
            <w:pPr>
              <w:autoSpaceDE w:val="0"/>
              <w:autoSpaceDN w:val="0"/>
              <w:adjustRightInd w:val="0"/>
              <w:spacing w:before="60"/>
              <w:ind w:left="-18"/>
              <w:jc w:val="both"/>
              <w:rPr>
                <w:rFonts w:ascii="Times New Roman" w:hAnsi="Times New Roman" w:cs="Times New Roman"/>
                <w:sz w:val="20"/>
                <w:szCs w:val="20"/>
              </w:rPr>
            </w:pPr>
            <w:r w:rsidRPr="00C23CD2">
              <w:rPr>
                <w:rFonts w:ascii="Times New Roman" w:eastAsia="Times New Roman" w:hAnsi="Times New Roman" w:cs="Times New Roman"/>
                <w:sz w:val="20"/>
                <w:szCs w:val="20"/>
                <w:shd w:val="clear" w:color="auto" w:fill="FFFFFF"/>
                <w:lang w:bidi="hr-HR"/>
              </w:rPr>
              <w:t>"Čvrste, tekuće ili plinovite tvari ili smjese tvari koje prilikom primjene kao primarni, potisni ili glavni naboj bojevih glava, za rušenje i druge primjene moraju detonatirati."</w:t>
            </w:r>
            <w:r w:rsidRPr="00C23CD2">
              <w:rPr>
                <w:rStyle w:val="EndnoteReference"/>
                <w:rFonts w:ascii="Times New Roman" w:eastAsia="Times New Roman" w:hAnsi="Times New Roman" w:cs="Times New Roman"/>
                <w:sz w:val="20"/>
                <w:szCs w:val="20"/>
                <w:shd w:val="clear" w:color="auto" w:fill="FFFFFF"/>
                <w:lang w:bidi="hr-HR"/>
              </w:rPr>
              <w:endnoteReference w:id="20"/>
            </w:r>
          </w:p>
        </w:tc>
      </w:tr>
      <w:tr w:rsidR="00493C38" w:rsidRPr="00642762" w14:paraId="0A0F94D7" w14:textId="77777777" w:rsidTr="00D90FAB">
        <w:tc>
          <w:tcPr>
            <w:tcW w:w="1896" w:type="dxa"/>
          </w:tcPr>
          <w:p w14:paraId="501CA466"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 xml:space="preserve">Izvanteritorijalne </w:t>
            </w:r>
            <w:r w:rsidRPr="00C23CD2">
              <w:rPr>
                <w:rFonts w:ascii="Times New Roman" w:eastAsia="Times New Roman" w:hAnsi="Times New Roman" w:cs="Times New Roman"/>
                <w:b/>
                <w:sz w:val="20"/>
                <w:szCs w:val="20"/>
                <w:lang w:bidi="hr-HR"/>
              </w:rPr>
              <w:lastRenderedPageBreak/>
              <w:t>kontrole</w:t>
            </w:r>
          </w:p>
        </w:tc>
        <w:tc>
          <w:tcPr>
            <w:tcW w:w="7842" w:type="dxa"/>
          </w:tcPr>
          <w:p w14:paraId="75DBBDDC" w14:textId="77777777" w:rsidR="00493C38" w:rsidRPr="00C23CD2" w:rsidRDefault="00493C38" w:rsidP="00D90FAB">
            <w:pPr>
              <w:pStyle w:val="ListParagraph"/>
              <w:numPr>
                <w:ilvl w:val="0"/>
                <w:numId w:val="8"/>
              </w:numPr>
              <w:ind w:left="0" w:hanging="720"/>
              <w:contextualSpacing w:val="0"/>
              <w:jc w:val="both"/>
              <w:rPr>
                <w:rFonts w:ascii="Times New Roman" w:hAnsi="Times New Roman" w:cs="Times New Roman"/>
                <w:b/>
                <w:sz w:val="20"/>
                <w:szCs w:val="20"/>
              </w:rPr>
            </w:pPr>
            <w:r w:rsidRPr="00C23CD2">
              <w:rPr>
                <w:rFonts w:ascii="Times New Roman" w:eastAsia="Times New Roman" w:hAnsi="Times New Roman" w:cs="Times New Roman"/>
                <w:sz w:val="20"/>
                <w:szCs w:val="20"/>
                <w:lang w:bidi="hr-HR"/>
              </w:rPr>
              <w:lastRenderedPageBreak/>
              <w:t xml:space="preserve">Odredbe nacionalnog zakonodavstva koje omogućuju vladi da ostvaruje nadležnost i vrši </w:t>
            </w:r>
            <w:r w:rsidRPr="00C23CD2">
              <w:rPr>
                <w:rFonts w:ascii="Times New Roman" w:eastAsia="Times New Roman" w:hAnsi="Times New Roman" w:cs="Times New Roman"/>
                <w:sz w:val="20"/>
                <w:szCs w:val="20"/>
                <w:lang w:bidi="hr-HR"/>
              </w:rPr>
              <w:lastRenderedPageBreak/>
              <w:t>kontrolu nad državljanima, osobama s prebivalištem i registriranim poduzećima kada provode aktivnosti u inozemstvu.</w:t>
            </w:r>
            <w:r w:rsidRPr="00C23CD2">
              <w:rPr>
                <w:rStyle w:val="EndnoteReference"/>
                <w:rFonts w:ascii="Times New Roman" w:eastAsia="Times New Roman" w:hAnsi="Times New Roman" w:cs="Times New Roman"/>
                <w:sz w:val="20"/>
                <w:szCs w:val="20"/>
                <w:lang w:bidi="hr-HR"/>
              </w:rPr>
              <w:endnoteReference w:id="21"/>
            </w:r>
            <w:r w:rsidRPr="00C23CD2">
              <w:rPr>
                <w:rFonts w:ascii="Times New Roman" w:eastAsia="Times New Roman" w:hAnsi="Times New Roman" w:cs="Times New Roman"/>
                <w:sz w:val="20"/>
                <w:szCs w:val="20"/>
                <w:lang w:bidi="hr-HR"/>
              </w:rPr>
              <w:t xml:space="preserve"> Primjeri izvanteritorijalnih aktivnosti koje vlade mogu regulirati uključuju posredovanje, povezane aktivnosti i srodne usluge te ponovni izvoz i/ili ponovni prijenos trećoj strani.</w:t>
            </w:r>
            <w:r w:rsidRPr="00C23CD2">
              <w:rPr>
                <w:rStyle w:val="EndnoteReference"/>
                <w:rFonts w:ascii="Times New Roman" w:eastAsia="Times New Roman" w:hAnsi="Times New Roman" w:cs="Times New Roman"/>
                <w:sz w:val="20"/>
                <w:szCs w:val="20"/>
                <w:lang w:bidi="hr-HR"/>
              </w:rPr>
              <w:endnoteReference w:id="22"/>
            </w:r>
            <w:r w:rsidRPr="00C23CD2">
              <w:rPr>
                <w:rFonts w:ascii="Times New Roman" w:eastAsia="Times New Roman" w:hAnsi="Times New Roman" w:cs="Times New Roman"/>
                <w:sz w:val="20"/>
                <w:szCs w:val="20"/>
                <w:lang w:bidi="hr-HR"/>
              </w:rPr>
              <w:t xml:space="preserve"> </w:t>
            </w:r>
          </w:p>
        </w:tc>
      </w:tr>
      <w:tr w:rsidR="00493C38" w:rsidRPr="00642762" w14:paraId="5D1F69DC" w14:textId="77777777" w:rsidTr="00D90FAB">
        <w:tc>
          <w:tcPr>
            <w:tcW w:w="1896" w:type="dxa"/>
          </w:tcPr>
          <w:p w14:paraId="12CDAF96"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lastRenderedPageBreak/>
              <w:t>Vatreno oružje</w:t>
            </w:r>
          </w:p>
        </w:tc>
        <w:tc>
          <w:tcPr>
            <w:tcW w:w="7842" w:type="dxa"/>
          </w:tcPr>
          <w:p w14:paraId="77D5B8CC" w14:textId="77777777" w:rsidR="00493C38" w:rsidRPr="00C23CD2" w:rsidRDefault="00493C38" w:rsidP="00D90FAB">
            <w:pPr>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Bilo koje prijenosno oružje s cijevi koje izbacuje, dizajnirano je da izbaci ili se može pretvoriti da izbaci hitac, metak ili projektil djelovanjem eksploziva (isključujući starinsko vatreno oružje ili njihove replike).</w:t>
            </w:r>
            <w:r w:rsidRPr="00C23CD2">
              <w:rPr>
                <w:rStyle w:val="EndnoteReference"/>
                <w:rFonts w:ascii="Times New Roman" w:eastAsia="Times New Roman" w:hAnsi="Times New Roman" w:cs="Times New Roman"/>
                <w:sz w:val="20"/>
                <w:szCs w:val="20"/>
                <w:lang w:bidi="hr-HR"/>
              </w:rPr>
              <w:endnoteReference w:id="23"/>
            </w:r>
          </w:p>
        </w:tc>
      </w:tr>
      <w:tr w:rsidR="00493C38" w:rsidRPr="00642762" w14:paraId="6D4557D6" w14:textId="77777777" w:rsidTr="00D90FAB">
        <w:tc>
          <w:tcPr>
            <w:tcW w:w="1896" w:type="dxa"/>
          </w:tcPr>
          <w:p w14:paraId="192D1197" w14:textId="77777777" w:rsidR="00493C38" w:rsidRPr="00C23CD2" w:rsidRDefault="00493C38" w:rsidP="00D90FAB">
            <w:pPr>
              <w:autoSpaceDE w:val="0"/>
              <w:autoSpaceDN w:val="0"/>
              <w:adjustRightInd w:val="0"/>
              <w:rPr>
                <w:rFonts w:ascii="Times New Roman" w:hAnsi="Times New Roman" w:cs="Times New Roman"/>
                <w:b/>
                <w:sz w:val="20"/>
                <w:szCs w:val="20"/>
              </w:rPr>
            </w:pPr>
            <w:r>
              <w:rPr>
                <w:rFonts w:ascii="Times New Roman" w:eastAsia="Times New Roman" w:hAnsi="Times New Roman" w:cs="Times New Roman"/>
                <w:b/>
                <w:sz w:val="20"/>
                <w:szCs w:val="20"/>
                <w:lang w:bidi="hr-HR"/>
              </w:rPr>
              <w:t>Zastava pogodnosti</w:t>
            </w:r>
          </w:p>
        </w:tc>
        <w:tc>
          <w:tcPr>
            <w:tcW w:w="7842" w:type="dxa"/>
          </w:tcPr>
          <w:p w14:paraId="71087A36" w14:textId="77777777" w:rsidR="00493C38" w:rsidRPr="00554472" w:rsidRDefault="00493C38" w:rsidP="00D90FAB">
            <w:pPr>
              <w:pStyle w:val="ListParagraph"/>
              <w:ind w:left="0" w:firstLine="17"/>
              <w:contextualSpacing w:val="0"/>
              <w:jc w:val="both"/>
              <w:rPr>
                <w:rFonts w:ascii="Times New Roman" w:hAnsi="Times New Roman" w:cs="Times New Roman"/>
                <w:sz w:val="20"/>
                <w:szCs w:val="20"/>
              </w:rPr>
            </w:pPr>
            <w:r w:rsidRPr="00554472">
              <w:rPr>
                <w:rFonts w:ascii="Times New Roman" w:eastAsia="Times New Roman" w:hAnsi="Times New Roman" w:cs="Times New Roman"/>
                <w:sz w:val="20"/>
                <w:szCs w:val="20"/>
                <w:lang w:bidi="hr-HR"/>
              </w:rPr>
              <w:t>Poslovna praksa registriranja trgovačkog broda u suverenoj državi koja se razlikuje od države vlasnika broda i koja na brodu nosi zastavu te države. Brod može biti registriran brod pod zastavom pogodnosti (FOC) da bi se smanjili troškovi poslovanja, izbjeglo plaćanje poreza ili zaobišli propisi države iz koje je vlasnik. "Otvoreni registar" je sličan pojam koji se koristi za opisivanje organizacije koja će registrirati brodove u vlasništvu stranih subjekata.</w:t>
            </w:r>
            <w:r w:rsidRPr="00554472">
              <w:rPr>
                <w:rStyle w:val="EndnoteReference"/>
                <w:rFonts w:ascii="Times New Roman" w:eastAsia="Times New Roman" w:hAnsi="Times New Roman" w:cs="Times New Roman"/>
                <w:sz w:val="20"/>
                <w:szCs w:val="20"/>
                <w:lang w:bidi="hr-HR"/>
              </w:rPr>
              <w:endnoteReference w:id="24"/>
            </w:r>
          </w:p>
        </w:tc>
      </w:tr>
      <w:tr w:rsidR="00493C38" w:rsidRPr="00642762" w14:paraId="1A0875CD" w14:textId="77777777" w:rsidTr="00D90FAB">
        <w:tc>
          <w:tcPr>
            <w:tcW w:w="1896" w:type="dxa"/>
          </w:tcPr>
          <w:p w14:paraId="18478E14"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Pravilnik o međunarodnoj trgovini oružjem (ITAR)</w:t>
            </w:r>
          </w:p>
        </w:tc>
        <w:tc>
          <w:tcPr>
            <w:tcW w:w="7842" w:type="dxa"/>
          </w:tcPr>
          <w:p w14:paraId="0C2246F2" w14:textId="77777777" w:rsidR="00493C38" w:rsidRPr="00C23CD2" w:rsidRDefault="00493C38" w:rsidP="00D90FAB">
            <w:pPr>
              <w:pStyle w:val="ListParagraph"/>
              <w:spacing w:before="120" w:after="120"/>
              <w:ind w:left="0" w:firstLine="17"/>
              <w:contextualSpacing w:val="0"/>
              <w:jc w:val="both"/>
              <w:rPr>
                <w:rFonts w:ascii="Times New Roman" w:hAnsi="Times New Roman" w:cs="Times New Roman"/>
                <w:b/>
                <w:sz w:val="20"/>
                <w:szCs w:val="20"/>
              </w:rPr>
            </w:pPr>
            <w:r w:rsidRPr="00C23CD2">
              <w:rPr>
                <w:rFonts w:ascii="Times New Roman" w:eastAsia="Times New Roman" w:hAnsi="Times New Roman" w:cs="Times New Roman"/>
                <w:sz w:val="20"/>
                <w:szCs w:val="20"/>
                <w:lang w:bidi="hr-HR"/>
              </w:rPr>
              <w:t>Propisi kojima upravlja Ministarstvo vanjskih poslova SAD-a (DOS) u svrhu kontrole izvoza obrambenih proizvoda i usluga SAD-a. Odredbe koje se provode u okviru ITAR-a uređene su Zakonom o nadzoru izvoza naoružanja (AECA). U skladu s ITAR-om, izravnu komercijalnu prodaju obrambenih proizvoda, sastavnih dijelova, tehnologije i usluga čije je podrijetlo iz SAD-a ovlašćuje Uprava za nadzor trgovine obrambenim materijalima (DDTC) pri Ministarstvu vanjskih poslova SAD-a.</w:t>
            </w:r>
            <w:r w:rsidRPr="00C23CD2">
              <w:rPr>
                <w:rStyle w:val="EndnoteReference"/>
                <w:rFonts w:ascii="Times New Roman" w:eastAsia="Times New Roman" w:hAnsi="Times New Roman" w:cs="Times New Roman"/>
                <w:sz w:val="20"/>
                <w:szCs w:val="20"/>
                <w:lang w:bidi="hr-HR"/>
              </w:rPr>
              <w:endnoteReference w:id="25"/>
            </w:r>
          </w:p>
        </w:tc>
      </w:tr>
      <w:tr w:rsidR="00493C38" w:rsidRPr="00642762" w14:paraId="7B41F2F5" w14:textId="77777777" w:rsidTr="00D90FAB">
        <w:tc>
          <w:tcPr>
            <w:tcW w:w="1896" w:type="dxa"/>
          </w:tcPr>
          <w:p w14:paraId="519C02AD"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Prijenosni protuzrakoplovni raketni sustavi (MANPAD)</w:t>
            </w:r>
          </w:p>
        </w:tc>
        <w:tc>
          <w:tcPr>
            <w:tcW w:w="7842" w:type="dxa"/>
          </w:tcPr>
          <w:p w14:paraId="691F9271" w14:textId="77777777" w:rsidR="00493C38" w:rsidRPr="00C23CD2" w:rsidRDefault="00493C38" w:rsidP="00D90FAB">
            <w:pPr>
              <w:widowControl w:val="0"/>
              <w:autoSpaceDE w:val="0"/>
              <w:autoSpaceDN w:val="0"/>
              <w:adjustRightInd w:val="0"/>
              <w:ind w:left="-6"/>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Raketni sustavi zemlja-zrak namijenjeni za uporabu pojedinca ili nekoliko pripadnika oružanih snaga koji služe kao posada.</w:t>
            </w:r>
          </w:p>
        </w:tc>
      </w:tr>
      <w:tr w:rsidR="00493C38" w:rsidRPr="00642762" w14:paraId="30BA90D7" w14:textId="77777777" w:rsidTr="00D90FAB">
        <w:tc>
          <w:tcPr>
            <w:tcW w:w="1896" w:type="dxa"/>
          </w:tcPr>
          <w:p w14:paraId="2C128F26"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Vojni zrakoplov</w:t>
            </w:r>
          </w:p>
        </w:tc>
        <w:tc>
          <w:tcPr>
            <w:tcW w:w="7842" w:type="dxa"/>
          </w:tcPr>
          <w:p w14:paraId="5F0A7F17" w14:textId="77777777" w:rsidR="00493C38" w:rsidRPr="00C23CD2" w:rsidRDefault="00493C38" w:rsidP="00D90FAB">
            <w:pPr>
              <w:widowControl w:val="0"/>
              <w:autoSpaceDE w:val="0"/>
              <w:autoSpaceDN w:val="0"/>
              <w:adjustRightInd w:val="0"/>
              <w:ind w:left="-6"/>
              <w:jc w:val="both"/>
              <w:rPr>
                <w:rFonts w:ascii="Times New Roman" w:eastAsia="MS Gothic" w:hAnsi="Times New Roman" w:cs="Times New Roman"/>
                <w:sz w:val="20"/>
                <w:szCs w:val="20"/>
              </w:rPr>
            </w:pPr>
            <w:r w:rsidRPr="00C23CD2">
              <w:rPr>
                <w:rFonts w:ascii="Times New Roman" w:eastAsia="Times New Roman" w:hAnsi="Times New Roman" w:cs="Times New Roman"/>
                <w:sz w:val="20"/>
                <w:szCs w:val="20"/>
                <w:lang w:bidi="hr-HR"/>
              </w:rPr>
              <w:t xml:space="preserve">Zrakoplovi s nepomoćnim krilima ili zrakoplovi promjenljive geometrije krila koji su dizajnirani, opremljeni ili modificirani za: (1) napadanje ciljeva koristeći: navođene projektile, nenavođene rakete, bombe, puške, strojnice, topove ili drugo oružje za uništenje; (2) obavljanje izviđanja; (3) sudjelovanje u zapovijedanju postrojbama ili elektroničkom ratovanju; (4) elektroničke i protivpožarne sustave protuzračne obrane; ili (5) sudjelovanje u misijama za punjenje gorivom ili spuštanje iz zraka. </w:t>
            </w:r>
          </w:p>
        </w:tc>
      </w:tr>
      <w:tr w:rsidR="00493C38" w:rsidRPr="00642762" w14:paraId="37BF229F" w14:textId="77777777" w:rsidTr="00D90FAB">
        <w:tc>
          <w:tcPr>
            <w:tcW w:w="1896" w:type="dxa"/>
          </w:tcPr>
          <w:p w14:paraId="005348C6"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 xml:space="preserve">Sveobuhvatna kontrola krajnje uporabe u vojne svrhe </w:t>
            </w:r>
          </w:p>
        </w:tc>
        <w:tc>
          <w:tcPr>
            <w:tcW w:w="7842" w:type="dxa"/>
          </w:tcPr>
          <w:p w14:paraId="161B7E0B" w14:textId="77777777" w:rsidR="00493C38" w:rsidRPr="00C23CD2" w:rsidRDefault="00493C38" w:rsidP="00D90FAB">
            <w:pPr>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 xml:space="preserve">Odredba nacionalnog zakonodavstva kojom se zahtijeva da pravna ili fizička osoba zatraži dozvolu za obavljanje određene trgovačke aktivnosti koja uključuje neuvrštenu robu ili tehnologije kada je osoba ima saznanja, obavijestila su je nadležna tijela ili ima razloga vjerovati da bi roba ili tehnologija mogla biti  predodređeni za konvencionalnu krajnju upotrebu u vojne svrhe. </w:t>
            </w:r>
          </w:p>
        </w:tc>
      </w:tr>
      <w:tr w:rsidR="00493C38" w:rsidRPr="00642762" w14:paraId="7DFE11FA" w14:textId="77777777" w:rsidTr="00D90FAB">
        <w:tc>
          <w:tcPr>
            <w:tcW w:w="1896" w:type="dxa"/>
          </w:tcPr>
          <w:p w14:paraId="3A9FFF91"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Rakete ili raketni sustavi</w:t>
            </w:r>
          </w:p>
        </w:tc>
        <w:tc>
          <w:tcPr>
            <w:tcW w:w="7842" w:type="dxa"/>
          </w:tcPr>
          <w:p w14:paraId="271C2682" w14:textId="77777777" w:rsidR="00493C38" w:rsidRPr="00C23CD2" w:rsidRDefault="00493C38" w:rsidP="00D90FAB">
            <w:pPr>
              <w:widowControl w:val="0"/>
              <w:autoSpaceDE w:val="0"/>
              <w:autoSpaceDN w:val="0"/>
              <w:adjustRightInd w:val="0"/>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Vođene ili neobrađene rakete, balističke ili krstareće rakete sposobne isporučiti bojnu glavu ili oružje za uništenje na domet od najmanje 25 km te sredstva koja su dizajnirana ili modificirana posebno za lansiranje takvih projektila ili raketa.</w:t>
            </w:r>
          </w:p>
        </w:tc>
      </w:tr>
      <w:tr w:rsidR="00493C38" w:rsidRPr="00642762" w14:paraId="1A94C4B4" w14:textId="77777777" w:rsidTr="00D90FAB">
        <w:tc>
          <w:tcPr>
            <w:tcW w:w="1896" w:type="dxa"/>
          </w:tcPr>
          <w:p w14:paraId="1704B256"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Streljivo (također poznato kao roba za primjenu u obrambene i vojne svrhe/konvencionalno oružje/naoružanje)</w:t>
            </w:r>
          </w:p>
        </w:tc>
        <w:tc>
          <w:tcPr>
            <w:tcW w:w="7842" w:type="dxa"/>
          </w:tcPr>
          <w:p w14:paraId="2A3A5327" w14:textId="77777777" w:rsidR="00493C38" w:rsidRPr="00C23CD2" w:rsidRDefault="00493C38" w:rsidP="00D90FAB">
            <w:pPr>
              <w:autoSpaceDE w:val="0"/>
              <w:autoSpaceDN w:val="0"/>
              <w:adjustRightInd w:val="0"/>
              <w:ind w:left="-18"/>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"Streljivo" čine "kompletni uređaji napunjeni eksplozivom, pogonskim gorivima, pirotehničkim sredstvima, inicijalnim sastavom ili nuklearnim, biološkim ili kemijskim materijalom za uporabu u vojnim operacijama." "Konvencionalno oružje odnosi se na oružje koje nije oružje za masovno uništenje. Uključuje, ali nije ograničeno na oklopna borbena vozila, borbene helikoptere, borbene zrakoplove, ratne brodove, malo i lako oružje (SALW), protupješačke mine, kazetne bombe, streljivo i topništvo. Radi se o glavnom oruđu rata.</w:t>
            </w:r>
            <w:r w:rsidRPr="00C23CD2">
              <w:rPr>
                <w:rStyle w:val="EndnoteReference"/>
                <w:rFonts w:ascii="Times New Roman" w:eastAsia="Times New Roman" w:hAnsi="Times New Roman" w:cs="Times New Roman"/>
                <w:sz w:val="20"/>
                <w:szCs w:val="20"/>
                <w:shd w:val="clear" w:color="auto" w:fill="FFFFFF"/>
                <w:lang w:bidi="hr-HR"/>
              </w:rPr>
              <w:endnoteReference w:id="26"/>
            </w:r>
          </w:p>
        </w:tc>
      </w:tr>
      <w:tr w:rsidR="00493C38" w:rsidRPr="00642762" w14:paraId="54858A68" w14:textId="77777777" w:rsidTr="00D90FAB">
        <w:tc>
          <w:tcPr>
            <w:tcW w:w="1896" w:type="dxa"/>
          </w:tcPr>
          <w:p w14:paraId="584AF672"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shd w:val="clear" w:color="auto" w:fill="FFFFFF"/>
                <w:lang w:bidi="hr-HR"/>
              </w:rPr>
              <w:t>Kontrolna lista streljiva</w:t>
            </w:r>
          </w:p>
        </w:tc>
        <w:tc>
          <w:tcPr>
            <w:tcW w:w="7842" w:type="dxa"/>
          </w:tcPr>
          <w:p w14:paraId="4EDD5113" w14:textId="77777777" w:rsidR="00493C38" w:rsidRPr="00C23CD2" w:rsidRDefault="00493C38" w:rsidP="00D90FAB">
            <w:pPr>
              <w:jc w:val="both"/>
              <w:rPr>
                <w:rFonts w:ascii="Times New Roman" w:hAnsi="Times New Roman" w:cs="Times New Roman"/>
                <w:sz w:val="20"/>
                <w:szCs w:val="20"/>
                <w:shd w:val="clear" w:color="auto" w:fill="FFFFFF"/>
              </w:rPr>
            </w:pPr>
            <w:r w:rsidRPr="00C23CD2">
              <w:rPr>
                <w:rFonts w:ascii="Times New Roman" w:eastAsia="Times New Roman" w:hAnsi="Times New Roman" w:cs="Times New Roman"/>
                <w:sz w:val="20"/>
                <w:szCs w:val="20"/>
                <w:shd w:val="clear" w:color="auto" w:fill="FFFFFF"/>
                <w:lang w:bidi="hr-HR"/>
              </w:rPr>
              <w:t xml:space="preserve">Nacionalni popis naoružanja i vojne opreme, dijelova, komponenata, softvera i tehnologija koji podliježu određenoj kontroli trgovine. </w:t>
            </w:r>
          </w:p>
          <w:p w14:paraId="1B7C21B1" w14:textId="77777777" w:rsidR="00493C38" w:rsidRPr="00C23CD2" w:rsidRDefault="00493C38" w:rsidP="00D90FAB">
            <w:pPr>
              <w:jc w:val="both"/>
              <w:rPr>
                <w:rFonts w:ascii="Times New Roman" w:hAnsi="Times New Roman" w:cs="Times New Roman"/>
                <w:sz w:val="20"/>
                <w:szCs w:val="20"/>
                <w:shd w:val="clear" w:color="auto" w:fill="FFFFFF"/>
              </w:rPr>
            </w:pPr>
          </w:p>
          <w:p w14:paraId="04254A56" w14:textId="77777777" w:rsidR="00493C38" w:rsidRPr="00C23CD2" w:rsidRDefault="00493C38" w:rsidP="00D90FAB">
            <w:pPr>
              <w:jc w:val="both"/>
              <w:rPr>
                <w:rFonts w:ascii="Times New Roman" w:hAnsi="Times New Roman" w:cs="Times New Roman"/>
                <w:sz w:val="20"/>
                <w:szCs w:val="20"/>
                <w:shd w:val="clear" w:color="auto" w:fill="FFFFFF"/>
              </w:rPr>
            </w:pPr>
            <w:r w:rsidRPr="00C23CD2">
              <w:rPr>
                <w:rFonts w:ascii="Times New Roman" w:eastAsia="Times New Roman" w:hAnsi="Times New Roman" w:cs="Times New Roman"/>
                <w:sz w:val="20"/>
                <w:szCs w:val="20"/>
                <w:u w:val="single"/>
                <w:shd w:val="clear" w:color="auto" w:fill="FFFFFF"/>
                <w:lang w:bidi="hr-HR"/>
              </w:rPr>
              <w:t>Napomena 1:</w:t>
            </w:r>
            <w:r w:rsidRPr="00C23CD2">
              <w:rPr>
                <w:rFonts w:ascii="Times New Roman" w:eastAsia="Times New Roman" w:hAnsi="Times New Roman" w:cs="Times New Roman"/>
                <w:i/>
                <w:sz w:val="20"/>
                <w:szCs w:val="20"/>
                <w:shd w:val="clear" w:color="auto" w:fill="FFFFFF"/>
                <w:lang w:bidi="hr-HR"/>
              </w:rPr>
              <w:t xml:space="preserve"> Popis streljiva iz Sporazuma iz Wassenaara (WA) čini osnovu kontrolnih lista za sve države sudionice Sporazuma iz Wassenara. Popis streljiva iz Sporazuma u Wassenaaru obuhvaća široki raspon naoružanja i vojne opreme te streljivo, informacije i komunikacijske tehnologije, opremu za obuku i opremu za proizvodnju oružja.</w:t>
            </w:r>
            <w:r w:rsidRPr="00C23CD2">
              <w:rPr>
                <w:rStyle w:val="EndnoteReference"/>
                <w:rFonts w:ascii="Times New Roman" w:eastAsia="Times New Roman" w:hAnsi="Times New Roman" w:cs="Times New Roman"/>
                <w:i/>
                <w:sz w:val="20"/>
                <w:szCs w:val="20"/>
                <w:shd w:val="clear" w:color="auto" w:fill="FFFFFF"/>
                <w:lang w:bidi="hr-HR"/>
              </w:rPr>
              <w:endnoteReference w:id="27"/>
            </w:r>
            <w:r w:rsidRPr="00C23CD2">
              <w:rPr>
                <w:rFonts w:ascii="Times New Roman" w:eastAsia="Times New Roman" w:hAnsi="Times New Roman" w:cs="Times New Roman"/>
                <w:i/>
                <w:sz w:val="20"/>
                <w:szCs w:val="20"/>
                <w:shd w:val="clear" w:color="auto" w:fill="FFFFFF"/>
                <w:lang w:bidi="hr-HR"/>
              </w:rPr>
              <w:t xml:space="preserve"> </w:t>
            </w:r>
          </w:p>
          <w:p w14:paraId="25A18036" w14:textId="77777777" w:rsidR="00493C38" w:rsidRPr="00C23CD2" w:rsidRDefault="00493C38" w:rsidP="00D90FAB">
            <w:pPr>
              <w:jc w:val="both"/>
              <w:rPr>
                <w:rFonts w:ascii="Times New Roman" w:hAnsi="Times New Roman" w:cs="Times New Roman"/>
                <w:sz w:val="20"/>
                <w:szCs w:val="20"/>
                <w:u w:val="single"/>
              </w:rPr>
            </w:pPr>
          </w:p>
          <w:p w14:paraId="3FC06F95" w14:textId="77777777" w:rsidR="00493C38" w:rsidRPr="00C23CD2" w:rsidRDefault="00493C38" w:rsidP="00D90FAB">
            <w:pPr>
              <w:jc w:val="both"/>
              <w:rPr>
                <w:rFonts w:ascii="Times New Roman" w:hAnsi="Times New Roman" w:cs="Times New Roman"/>
                <w:sz w:val="20"/>
                <w:szCs w:val="20"/>
                <w:shd w:val="clear" w:color="auto" w:fill="FFFFFF"/>
              </w:rPr>
            </w:pPr>
            <w:r w:rsidRPr="00C23CD2">
              <w:rPr>
                <w:rFonts w:ascii="Times New Roman" w:eastAsia="Times New Roman" w:hAnsi="Times New Roman" w:cs="Times New Roman"/>
                <w:sz w:val="20"/>
                <w:szCs w:val="20"/>
                <w:u w:val="single"/>
                <w:lang w:bidi="hr-HR"/>
              </w:rPr>
              <w:t>Napomena 2:</w:t>
            </w:r>
            <w:r w:rsidRPr="00C23CD2">
              <w:rPr>
                <w:rFonts w:ascii="Times New Roman" w:eastAsia="Times New Roman" w:hAnsi="Times New Roman" w:cs="Times New Roman"/>
                <w:i/>
                <w:sz w:val="20"/>
                <w:szCs w:val="20"/>
                <w:lang w:bidi="hr-HR"/>
              </w:rPr>
              <w:t xml:space="preserve"> Zajednički popis robe vojne namjene Europske unije (EU) popis je roba, tehnologija i opreme obuhvaćenih Zajedničkim stajalištem EU-a o izvozu naoružanja.</w:t>
            </w:r>
            <w:r w:rsidRPr="00C23CD2">
              <w:rPr>
                <w:rStyle w:val="EndnoteReference"/>
                <w:rFonts w:ascii="Times New Roman" w:eastAsia="Times New Roman" w:hAnsi="Times New Roman" w:cs="Times New Roman"/>
                <w:i/>
                <w:sz w:val="20"/>
                <w:szCs w:val="20"/>
                <w:lang w:bidi="hr-HR"/>
              </w:rPr>
              <w:endnoteReference w:id="28"/>
            </w:r>
          </w:p>
        </w:tc>
      </w:tr>
      <w:tr w:rsidR="00493C38" w:rsidRPr="00642762" w14:paraId="5581F9FE" w14:textId="77777777" w:rsidTr="00D90FAB">
        <w:tc>
          <w:tcPr>
            <w:tcW w:w="1896" w:type="dxa"/>
          </w:tcPr>
          <w:p w14:paraId="221BAB79"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shd w:val="clear" w:color="auto" w:fill="FFFFFF"/>
                <w:lang w:bidi="hr-HR"/>
              </w:rPr>
              <w:t xml:space="preserve">Nacionalni sustav </w:t>
            </w:r>
            <w:r w:rsidRPr="00C23CD2">
              <w:rPr>
                <w:rFonts w:ascii="Times New Roman" w:eastAsia="Times New Roman" w:hAnsi="Times New Roman" w:cs="Times New Roman"/>
                <w:b/>
                <w:sz w:val="20"/>
                <w:szCs w:val="20"/>
                <w:shd w:val="clear" w:color="auto" w:fill="FFFFFF"/>
                <w:lang w:bidi="hr-HR"/>
              </w:rPr>
              <w:lastRenderedPageBreak/>
              <w:t>nadzora nad trgovinom oružja</w:t>
            </w:r>
          </w:p>
        </w:tc>
        <w:tc>
          <w:tcPr>
            <w:tcW w:w="7842" w:type="dxa"/>
          </w:tcPr>
          <w:p w14:paraId="1A8E05D2" w14:textId="77777777" w:rsidR="00493C38" w:rsidRPr="00C23CD2" w:rsidRDefault="00493C38" w:rsidP="00D90FAB">
            <w:pPr>
              <w:jc w:val="both"/>
              <w:rPr>
                <w:rFonts w:ascii="Times New Roman" w:hAnsi="Times New Roman" w:cs="Times New Roman"/>
                <w:b/>
                <w:sz w:val="20"/>
                <w:szCs w:val="20"/>
                <w:shd w:val="clear" w:color="auto" w:fill="FFFFFF"/>
              </w:rPr>
            </w:pPr>
            <w:r w:rsidRPr="00C23CD2">
              <w:rPr>
                <w:rFonts w:ascii="Times New Roman" w:eastAsia="Times New Roman" w:hAnsi="Times New Roman" w:cs="Times New Roman"/>
                <w:sz w:val="20"/>
                <w:szCs w:val="20"/>
                <w:shd w:val="clear" w:color="auto" w:fill="FFFFFF"/>
                <w:lang w:bidi="hr-HR"/>
              </w:rPr>
              <w:lastRenderedPageBreak/>
              <w:t xml:space="preserve">Nacionalni sustav zakona, politika, postupaka i smjernica usmjerenih na učinkovito </w:t>
            </w:r>
            <w:r w:rsidRPr="00C23CD2">
              <w:rPr>
                <w:rFonts w:ascii="Times New Roman" w:eastAsia="Times New Roman" w:hAnsi="Times New Roman" w:cs="Times New Roman"/>
                <w:sz w:val="20"/>
                <w:szCs w:val="20"/>
                <w:shd w:val="clear" w:color="auto" w:fill="FFFFFF"/>
                <w:lang w:bidi="hr-HR"/>
              </w:rPr>
              <w:lastRenderedPageBreak/>
              <w:t>reguliranje i praćenje trgovine robom i tehnologijama vezanim za naoružanje. Sveobuhvatni i učinkoviti sustavi nadzora nad trgovinom oružja reguliraju uvoz, izvoz, tranzit, pretovar, brokering i nematerijalni prijenos određene robe, dijelova, komponenata, softvera i tehnologija vezanih za naoružanje.</w:t>
            </w:r>
          </w:p>
        </w:tc>
      </w:tr>
      <w:tr w:rsidR="00493C38" w:rsidRPr="00642762" w14:paraId="1AB4B3EE" w14:textId="77777777" w:rsidTr="00D90FAB">
        <w:tc>
          <w:tcPr>
            <w:tcW w:w="1896" w:type="dxa"/>
          </w:tcPr>
          <w:p w14:paraId="766061A8"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lastRenderedPageBreak/>
              <w:t>Dijelovi i komponente</w:t>
            </w:r>
          </w:p>
        </w:tc>
        <w:tc>
          <w:tcPr>
            <w:tcW w:w="7842" w:type="dxa"/>
          </w:tcPr>
          <w:p w14:paraId="6A8F68CF" w14:textId="77777777" w:rsidR="00493C38" w:rsidRPr="00C23CD2" w:rsidRDefault="00493C38" w:rsidP="00D90FAB">
            <w:pPr>
              <w:ind w:left="-16"/>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„Dijelovi i komponente“ vatrenog oružja sastoje se od bilo kojeg elementa ili zamjenskog elementa koji je posebno dizajniran za vatreno oružje i nužan za njegovo funkcioniranje, uključujući cijev, okvir ili prijemnik, klizni cilindar ili cilindar, vijak ili zatvarač i bilo koji uređaj dizajniran ili prilagođen za stišavanje zvuka do kojeg dolaze zbog pucanja iz vatrenog oružja.</w:t>
            </w:r>
            <w:r w:rsidRPr="00C23CD2">
              <w:rPr>
                <w:rStyle w:val="EndnoteReference"/>
                <w:rFonts w:ascii="Times New Roman" w:eastAsia="Times New Roman" w:hAnsi="Times New Roman" w:cs="Times New Roman"/>
                <w:sz w:val="20"/>
                <w:szCs w:val="20"/>
                <w:lang w:bidi="hr-HR"/>
              </w:rPr>
              <w:endnoteReference w:id="29"/>
            </w:r>
            <w:r w:rsidRPr="00C23CD2">
              <w:rPr>
                <w:rFonts w:ascii="Times New Roman" w:eastAsia="Times New Roman" w:hAnsi="Times New Roman" w:cs="Times New Roman"/>
                <w:sz w:val="20"/>
                <w:szCs w:val="20"/>
                <w:lang w:bidi="hr-HR"/>
              </w:rPr>
              <w:t xml:space="preserve"> Popis streljiva iz Sporazuma u Wassenaaru identificira "komponente" robe koja je streljivo od slučaja do slučaja.</w:t>
            </w:r>
          </w:p>
        </w:tc>
      </w:tr>
      <w:tr w:rsidR="00493C38" w:rsidRPr="00642762" w14:paraId="5AB831AC" w14:textId="77777777" w:rsidTr="00D90FAB">
        <w:tc>
          <w:tcPr>
            <w:tcW w:w="1896" w:type="dxa"/>
          </w:tcPr>
          <w:p w14:paraId="21676610"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Registracija</w:t>
            </w:r>
          </w:p>
        </w:tc>
        <w:tc>
          <w:tcPr>
            <w:tcW w:w="7842" w:type="dxa"/>
          </w:tcPr>
          <w:p w14:paraId="16C33AEC" w14:textId="77777777" w:rsidR="00493C38" w:rsidRPr="00C23CD2" w:rsidRDefault="00493C38" w:rsidP="00D90FAB">
            <w:pPr>
              <w:pStyle w:val="ListParagraph"/>
              <w:numPr>
                <w:ilvl w:val="0"/>
                <w:numId w:val="8"/>
              </w:numPr>
              <w:tabs>
                <w:tab w:val="left" w:pos="0"/>
              </w:tabs>
              <w:ind w:left="0" w:hanging="720"/>
              <w:contextualSpacing w:val="0"/>
              <w:jc w:val="both"/>
              <w:rPr>
                <w:rFonts w:ascii="Times New Roman" w:hAnsi="Times New Roman" w:cs="Times New Roman"/>
                <w:b/>
                <w:sz w:val="20"/>
                <w:szCs w:val="20"/>
              </w:rPr>
            </w:pPr>
            <w:r w:rsidRPr="00C23CD2">
              <w:rPr>
                <w:rFonts w:ascii="Times New Roman" w:eastAsia="Times New Roman" w:hAnsi="Times New Roman" w:cs="Times New Roman"/>
                <w:sz w:val="20"/>
                <w:szCs w:val="20"/>
                <w:lang w:bidi="hr-HR"/>
              </w:rPr>
              <w:t>Evidencija pravnih i/ili fizičkih osoba koje se žele baviti određenom vrstom trgovine i/ili djelatnostima koje se nalaze na službenom popisu ili u katalogu na državnoj razini. Regulatorna tijela mogu zahtijevati od podnositelja zahtjeva za registraciju da dostavi podatke koji se odnose na iskustvo, poslovne podatke, financijske podatke, robu s kojom namjerava trgovati te po mogućnosti i poslovne reference. Nadležna tijela mogu zatražiti od podnositelja zahtjeva da navedu državu u kojoj imaju boravište i državljanstvo, vlasništvo nad bilo kojim subjektom ili uključenost u relevantna poduzeća koja se mogu koristiti za olakšavanje srodnih aktivnosti kao i asortiman/vrste robe s kojima podnositelj zahtjeva namjerava trgovati. Registracija također može uključivati službeni pregled i provjeru informacija koje je podnio podnositelj zahtjeva. Te provjere mogu uključivati provjeru je li podnositelj zahtjeva ikada bio optužen ili osuđen za zločine koji podliježu nacionalnom diskrecijskom pravu.</w:t>
            </w:r>
            <w:r w:rsidRPr="00C23CD2">
              <w:rPr>
                <w:rStyle w:val="EndnoteReference"/>
                <w:rFonts w:ascii="Times New Roman" w:eastAsia="Times New Roman" w:hAnsi="Times New Roman" w:cs="Times New Roman"/>
                <w:sz w:val="20"/>
                <w:szCs w:val="20"/>
                <w:lang w:bidi="hr-HR"/>
              </w:rPr>
              <w:endnoteReference w:id="30"/>
            </w:r>
            <w:r w:rsidRPr="00C23CD2">
              <w:rPr>
                <w:rFonts w:ascii="Times New Roman" w:eastAsia="Times New Roman" w:hAnsi="Times New Roman" w:cs="Times New Roman"/>
                <w:sz w:val="20"/>
                <w:szCs w:val="20"/>
                <w:lang w:bidi="hr-HR"/>
              </w:rPr>
              <w:t xml:space="preserve"> U nekim se državama zahtjevi za registraciju primjenjuju samo na proizvođače oružja. U drugim se državama proizvođači robe s dvostrukom namjenom također moraju registrirati kod nadležnih tijela prije podnošenja zahtjeva za izdavanje dozvole za transakciju. * </w:t>
            </w:r>
            <w:r w:rsidRPr="00C23CD2">
              <w:rPr>
                <w:rFonts w:ascii="Times New Roman" w:eastAsia="Times New Roman" w:hAnsi="Times New Roman" w:cs="Times New Roman"/>
                <w:i/>
                <w:sz w:val="20"/>
                <w:szCs w:val="20"/>
                <w:lang w:bidi="hr-HR"/>
              </w:rPr>
              <w:t xml:space="preserve">Obavezno provjerite propise o strateškoj kontroli trgovine i druge zakone kako biste utvrdili postoje li zahtjevi za registraciju za pojedince i subjekte koji trguju robom povezanom s naoružanjem. </w:t>
            </w:r>
          </w:p>
        </w:tc>
      </w:tr>
      <w:tr w:rsidR="00493C38" w:rsidRPr="00642762" w14:paraId="015292CB" w14:textId="77777777" w:rsidTr="00D90FAB">
        <w:tc>
          <w:tcPr>
            <w:tcW w:w="1896" w:type="dxa"/>
          </w:tcPr>
          <w:p w14:paraId="67566754"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Srodne usluge</w:t>
            </w:r>
          </w:p>
        </w:tc>
        <w:tc>
          <w:tcPr>
            <w:tcW w:w="7842" w:type="dxa"/>
          </w:tcPr>
          <w:p w14:paraId="78C6E52B" w14:textId="77777777" w:rsidR="00493C38" w:rsidRPr="00C23CD2" w:rsidRDefault="00493C38" w:rsidP="00D90FAB">
            <w:pPr>
              <w:autoSpaceDE w:val="0"/>
              <w:autoSpaceDN w:val="0"/>
              <w:adjustRightInd w:val="0"/>
              <w:ind w:left="-18"/>
              <w:jc w:val="both"/>
              <w:rPr>
                <w:rFonts w:ascii="Times New Roman" w:hAnsi="Times New Roman" w:cs="Times New Roman"/>
                <w:sz w:val="20"/>
                <w:szCs w:val="20"/>
              </w:rPr>
            </w:pPr>
            <w:r w:rsidRPr="00C23CD2">
              <w:rPr>
                <w:rFonts w:ascii="Times New Roman" w:eastAsia="Times New Roman" w:hAnsi="Times New Roman" w:cs="Times New Roman"/>
                <w:sz w:val="20"/>
                <w:szCs w:val="20"/>
                <w:lang w:bidi="hr-HR"/>
              </w:rPr>
              <w:t>Odnosi se na srodne usluge koje se mogu izvoditi radi olakšavanja trgovinske transakcije, kao što su: tehnička pomoći i usluge, obuka, prijevoz, špedicija, skladištenje, financije, osiguranje, usluge održavanja i sigurnost.</w:t>
            </w:r>
            <w:r w:rsidRPr="00C23CD2">
              <w:rPr>
                <w:rStyle w:val="EndnoteReference"/>
                <w:rFonts w:ascii="Times New Roman" w:eastAsia="Times New Roman" w:hAnsi="Times New Roman" w:cs="Times New Roman"/>
                <w:sz w:val="20"/>
                <w:szCs w:val="20"/>
                <w:lang w:bidi="hr-HR"/>
              </w:rPr>
              <w:endnoteReference w:id="31"/>
            </w:r>
          </w:p>
        </w:tc>
      </w:tr>
      <w:tr w:rsidR="00493C38" w:rsidRPr="00642762" w14:paraId="3063ABAF" w14:textId="77777777" w:rsidTr="00D90FAB">
        <w:tc>
          <w:tcPr>
            <w:tcW w:w="1896" w:type="dxa"/>
          </w:tcPr>
          <w:p w14:paraId="57D62613"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Agens za suzbijanje nereda</w:t>
            </w:r>
          </w:p>
        </w:tc>
        <w:tc>
          <w:tcPr>
            <w:tcW w:w="7842" w:type="dxa"/>
          </w:tcPr>
          <w:p w14:paraId="4D7F86D0" w14:textId="77777777" w:rsidR="00493C38" w:rsidRPr="00C23CD2" w:rsidRDefault="00493C38" w:rsidP="00D90FAB">
            <w:pPr>
              <w:pStyle w:val="ListParagraph"/>
              <w:tabs>
                <w:tab w:val="left" w:pos="0"/>
              </w:tabs>
              <w:ind w:left="0"/>
              <w:contextualSpacing w:val="0"/>
              <w:jc w:val="both"/>
              <w:rPr>
                <w:rFonts w:ascii="Times New Roman" w:hAnsi="Times New Roman" w:cs="Times New Roman"/>
                <w:b/>
                <w:sz w:val="20"/>
                <w:szCs w:val="20"/>
              </w:rPr>
            </w:pPr>
            <w:r w:rsidRPr="00C23CD2">
              <w:rPr>
                <w:rFonts w:ascii="Times New Roman" w:eastAsia="Times New Roman" w:hAnsi="Times New Roman" w:cs="Times New Roman"/>
                <w:sz w:val="20"/>
                <w:szCs w:val="20"/>
                <w:lang w:bidi="hr-HR"/>
              </w:rPr>
              <w:t>„Tvari koje pod očekivanim uvjetima upotrebe za suzbijanje nereda kod ljudi vrlo brzo izazivaju nadražaj osjetila ili onesposobljavaju fizičke učinke koji nestaju u kratkom vremenu nakon što se prekine izlaganje. (Na primjer, suzni plinovi su podskup „agensa za suzbijanje nereda“.)</w:t>
            </w:r>
            <w:r w:rsidRPr="00C23CD2">
              <w:rPr>
                <w:rStyle w:val="EndnoteReference"/>
                <w:rFonts w:ascii="Times New Roman" w:eastAsia="Times New Roman" w:hAnsi="Times New Roman" w:cs="Times New Roman"/>
                <w:sz w:val="20"/>
                <w:szCs w:val="20"/>
                <w:lang w:bidi="hr-HR"/>
              </w:rPr>
              <w:endnoteReference w:id="32"/>
            </w:r>
          </w:p>
        </w:tc>
      </w:tr>
      <w:tr w:rsidR="00493C38" w:rsidRPr="00642762" w14:paraId="0A78EFBB" w14:textId="77777777" w:rsidTr="00D90FAB">
        <w:tc>
          <w:tcPr>
            <w:tcW w:w="1896" w:type="dxa"/>
          </w:tcPr>
          <w:p w14:paraId="7ABE3568" w14:textId="77777777" w:rsidR="00493C38" w:rsidRPr="00C23CD2" w:rsidRDefault="00493C38" w:rsidP="00D90FAB">
            <w:pPr>
              <w:autoSpaceDE w:val="0"/>
              <w:autoSpaceDN w:val="0"/>
              <w:adjustRightInd w:val="0"/>
              <w:rPr>
                <w:rFonts w:ascii="Times New Roman" w:hAnsi="Times New Roman" w:cs="Times New Roman"/>
                <w:b/>
                <w:sz w:val="20"/>
                <w:szCs w:val="20"/>
              </w:rPr>
            </w:pPr>
            <w:r>
              <w:rPr>
                <w:rFonts w:ascii="Times New Roman" w:eastAsia="Times New Roman" w:hAnsi="Times New Roman" w:cs="Times New Roman"/>
                <w:b/>
                <w:sz w:val="20"/>
                <w:szCs w:val="20"/>
                <w:lang w:bidi="hr-HR"/>
              </w:rPr>
              <w:t>Fiktivno poduzeće</w:t>
            </w:r>
          </w:p>
        </w:tc>
        <w:tc>
          <w:tcPr>
            <w:tcW w:w="7842" w:type="dxa"/>
          </w:tcPr>
          <w:p w14:paraId="6E13D901" w14:textId="77777777" w:rsidR="00493C38" w:rsidRPr="00554472" w:rsidRDefault="00493C38" w:rsidP="00D90FAB">
            <w:pPr>
              <w:pStyle w:val="ListParagraph"/>
              <w:tabs>
                <w:tab w:val="left" w:pos="0"/>
              </w:tabs>
              <w:ind w:left="-6"/>
              <w:contextualSpacing w:val="0"/>
              <w:jc w:val="both"/>
              <w:rPr>
                <w:rFonts w:ascii="Times New Roman" w:hAnsi="Times New Roman" w:cs="Times New Roman"/>
                <w:b/>
                <w:sz w:val="20"/>
                <w:szCs w:val="20"/>
              </w:rPr>
            </w:pPr>
            <w:r w:rsidRPr="00554472">
              <w:rPr>
                <w:rFonts w:ascii="Times New Roman" w:eastAsia="Times New Roman" w:hAnsi="Times New Roman" w:cs="Times New Roman"/>
                <w:sz w:val="20"/>
                <w:szCs w:val="20"/>
                <w:lang w:bidi="hr-HR"/>
              </w:rPr>
              <w:t>Fiktivno poduzeće je pravna osoba koja služi kao sredstvo za poslovne transakcije, a da pri tome ne raspolaže značajnijom imovinom, poslovnim operacijama ili zaposlenicima. Fiktivna poduzeća kojima se ne može ući u trag su privlačno sredstvo za pranje novca, financiranje terorizma i izbjegavanje međunarodnih sankcija. Zločinci mogu koristiti nekoliko razina fiktivnih poduzeća kako bi onemogućili istražitelje, a sebe zaštitili od kaznenog progona. Koristeći se nizom fiktivnih poduzeća na mjestima gdje su administrativni kapaciteti i provedba zakona slabi, namjerni proliferatori mogu organizirati isporuku strateške robe neovlaštenim krajnjim korisnicima.</w:t>
            </w:r>
            <w:r w:rsidRPr="00554472">
              <w:rPr>
                <w:rStyle w:val="EndnoteReference"/>
                <w:rFonts w:ascii="Times New Roman" w:eastAsia="Times New Roman" w:hAnsi="Times New Roman" w:cs="Times New Roman"/>
                <w:sz w:val="20"/>
                <w:szCs w:val="20"/>
                <w:lang w:bidi="hr-HR"/>
              </w:rPr>
              <w:endnoteReference w:id="33"/>
            </w:r>
          </w:p>
        </w:tc>
      </w:tr>
      <w:tr w:rsidR="00493C38" w:rsidRPr="00642762" w14:paraId="0D2CE266" w14:textId="77777777" w:rsidTr="00D90FAB">
        <w:tc>
          <w:tcPr>
            <w:tcW w:w="1896" w:type="dxa"/>
          </w:tcPr>
          <w:p w14:paraId="5C918FDB" w14:textId="77777777" w:rsidR="00493C38" w:rsidRPr="00C23CD2" w:rsidRDefault="00493C38" w:rsidP="00D90FAB">
            <w:pPr>
              <w:autoSpaceDE w:val="0"/>
              <w:autoSpaceDN w:val="0"/>
              <w:adjustRightInd w:val="0"/>
              <w:rPr>
                <w:rFonts w:ascii="Times New Roman" w:hAnsi="Times New Roman" w:cs="Times New Roman"/>
                <w:b/>
                <w:sz w:val="20"/>
                <w:szCs w:val="20"/>
              </w:rPr>
            </w:pPr>
            <w:r w:rsidRPr="00C23CD2">
              <w:rPr>
                <w:rFonts w:ascii="Times New Roman" w:eastAsia="Times New Roman" w:hAnsi="Times New Roman" w:cs="Times New Roman"/>
                <w:b/>
                <w:sz w:val="20"/>
                <w:szCs w:val="20"/>
                <w:lang w:bidi="hr-HR"/>
              </w:rPr>
              <w:t>Malo i lako oružje (SALW)</w:t>
            </w:r>
          </w:p>
        </w:tc>
        <w:tc>
          <w:tcPr>
            <w:tcW w:w="7842" w:type="dxa"/>
          </w:tcPr>
          <w:p w14:paraId="5748A3DE" w14:textId="77777777" w:rsidR="00493C38" w:rsidRPr="00C23CD2" w:rsidRDefault="00493C38" w:rsidP="00D90FAB">
            <w:pPr>
              <w:pStyle w:val="ListParagraph"/>
              <w:tabs>
                <w:tab w:val="left" w:pos="0"/>
              </w:tabs>
              <w:ind w:left="-16"/>
              <w:contextualSpacing w:val="0"/>
              <w:jc w:val="both"/>
              <w:rPr>
                <w:rFonts w:ascii="Times New Roman" w:hAnsi="Times New Roman" w:cs="Times New Roman"/>
                <w:b/>
                <w:sz w:val="20"/>
                <w:szCs w:val="20"/>
              </w:rPr>
            </w:pPr>
            <w:r w:rsidRPr="00C23CD2">
              <w:rPr>
                <w:rFonts w:ascii="Times New Roman" w:eastAsia="Times New Roman" w:hAnsi="Times New Roman" w:cs="Times New Roman"/>
                <w:sz w:val="20"/>
                <w:szCs w:val="20"/>
                <w:shd w:val="clear" w:color="auto" w:fill="FFFFFF"/>
                <w:lang w:bidi="hr-HR"/>
              </w:rPr>
              <w:t>Civilno, privatno i vojno oružje koje ispaljuje projektil, uz uvjet da jedinicu ili sustav može nositi pojedinac, manja skupina ljudi ili ga može prenijeti tegleća životinja ili lako vozilo.</w:t>
            </w:r>
            <w:r w:rsidRPr="00C23CD2">
              <w:rPr>
                <w:rStyle w:val="EndnoteReference"/>
                <w:rFonts w:ascii="Times New Roman" w:eastAsia="Times New Roman" w:hAnsi="Times New Roman" w:cs="Times New Roman"/>
                <w:sz w:val="20"/>
                <w:szCs w:val="20"/>
                <w:shd w:val="clear" w:color="auto" w:fill="FFFFFF"/>
                <w:lang w:bidi="hr-HR"/>
              </w:rPr>
              <w:endnoteReference w:id="34"/>
            </w:r>
          </w:p>
          <w:p w14:paraId="18C3574A" w14:textId="77777777" w:rsidR="00493C38" w:rsidRPr="00C23CD2" w:rsidRDefault="00493C38" w:rsidP="00D90FAB">
            <w:pPr>
              <w:pStyle w:val="ListParagraph"/>
              <w:numPr>
                <w:ilvl w:val="0"/>
                <w:numId w:val="9"/>
              </w:numPr>
              <w:tabs>
                <w:tab w:val="left" w:pos="0"/>
              </w:tabs>
              <w:spacing w:before="120" w:after="120"/>
              <w:contextualSpacing w:val="0"/>
              <w:jc w:val="both"/>
              <w:rPr>
                <w:rFonts w:ascii="Times New Roman" w:hAnsi="Times New Roman" w:cs="Times New Roman"/>
                <w:b/>
                <w:sz w:val="20"/>
                <w:szCs w:val="20"/>
              </w:rPr>
            </w:pPr>
            <w:r w:rsidRPr="00C23CD2">
              <w:rPr>
                <w:rFonts w:ascii="Times New Roman" w:eastAsia="Times New Roman" w:hAnsi="Times New Roman" w:cs="Times New Roman"/>
                <w:sz w:val="20"/>
                <w:szCs w:val="20"/>
                <w:shd w:val="clear" w:color="auto" w:fill="FFFFFF"/>
                <w:lang w:bidi="hr-HR"/>
              </w:rPr>
              <w:t>Malo oružje: revolveri i pištolji s automatskim punjenjem, puške i karabine, jurišne puške, kratke automatske puške i lake strojnice.</w:t>
            </w:r>
            <w:r w:rsidRPr="00C23CD2">
              <w:rPr>
                <w:rStyle w:val="EndnoteReference"/>
                <w:rFonts w:ascii="Times New Roman" w:eastAsia="Times New Roman" w:hAnsi="Times New Roman" w:cs="Times New Roman"/>
                <w:sz w:val="20"/>
                <w:szCs w:val="20"/>
                <w:shd w:val="clear" w:color="auto" w:fill="FFFFFF"/>
                <w:lang w:bidi="hr-HR"/>
              </w:rPr>
              <w:endnoteReference w:id="35"/>
            </w:r>
          </w:p>
          <w:p w14:paraId="18F86AFB" w14:textId="77777777" w:rsidR="00493C38" w:rsidRPr="00C23CD2" w:rsidRDefault="00493C38" w:rsidP="00D90FAB">
            <w:pPr>
              <w:pStyle w:val="ListParagraph"/>
              <w:numPr>
                <w:ilvl w:val="0"/>
                <w:numId w:val="9"/>
              </w:numPr>
              <w:tabs>
                <w:tab w:val="left" w:pos="0"/>
              </w:tabs>
              <w:spacing w:before="120" w:after="120"/>
              <w:contextualSpacing w:val="0"/>
              <w:jc w:val="both"/>
              <w:rPr>
                <w:rFonts w:ascii="Times New Roman" w:hAnsi="Times New Roman" w:cs="Times New Roman"/>
                <w:b/>
                <w:sz w:val="20"/>
                <w:szCs w:val="20"/>
              </w:rPr>
            </w:pPr>
            <w:r w:rsidRPr="00C23CD2">
              <w:rPr>
                <w:rFonts w:ascii="Times New Roman" w:eastAsia="Times New Roman" w:hAnsi="Times New Roman" w:cs="Times New Roman"/>
                <w:sz w:val="20"/>
                <w:szCs w:val="20"/>
                <w:lang w:bidi="hr-HR"/>
              </w:rPr>
              <w:t>Lako oružje: strojnice, ručni podcijevni i montirani bacači granata, prijenosni protuzrakoplovni topovi, prijenosni protutenkovski topovi, netrzajno oružje, prijenosni bacači protutenkovskih projektilnih i raketnih sustava; prijenosni bacači protuzrakoplovnih raketnih sustava (MANPADS) te minobacači kalibra manjeg od 100 mm.</w:t>
            </w:r>
            <w:r w:rsidRPr="00C23CD2">
              <w:rPr>
                <w:rStyle w:val="EndnoteReference"/>
                <w:rFonts w:ascii="Times New Roman" w:eastAsia="Times New Roman" w:hAnsi="Times New Roman" w:cs="Times New Roman"/>
                <w:sz w:val="20"/>
                <w:szCs w:val="20"/>
                <w:shd w:val="clear" w:color="auto" w:fill="FFFFFF"/>
                <w:lang w:bidi="hr-HR"/>
              </w:rPr>
              <w:endnoteReference w:id="36"/>
            </w:r>
          </w:p>
        </w:tc>
      </w:tr>
      <w:tr w:rsidR="00493C38" w:rsidRPr="00642762" w14:paraId="5E862B7B" w14:textId="77777777" w:rsidTr="00D90FAB">
        <w:tc>
          <w:tcPr>
            <w:tcW w:w="1896" w:type="dxa"/>
          </w:tcPr>
          <w:p w14:paraId="0DF613E9" w14:textId="77777777" w:rsidR="00493C38" w:rsidRPr="00C23CD2" w:rsidRDefault="00493C38" w:rsidP="00D90FAB">
            <w:pPr>
              <w:autoSpaceDE w:val="0"/>
              <w:autoSpaceDN w:val="0"/>
              <w:adjustRightInd w:val="0"/>
              <w:rPr>
                <w:rFonts w:ascii="Times New Roman" w:hAnsi="Times New Roman" w:cs="Times New Roman"/>
                <w:b/>
                <w:sz w:val="20"/>
                <w:szCs w:val="20"/>
              </w:rPr>
            </w:pPr>
            <w:r>
              <w:rPr>
                <w:rFonts w:ascii="Times New Roman" w:eastAsia="Times New Roman" w:hAnsi="Times New Roman" w:cs="Times New Roman"/>
                <w:b/>
                <w:sz w:val="20"/>
                <w:szCs w:val="20"/>
                <w:lang w:bidi="hr-HR"/>
              </w:rPr>
              <w:t>Porezno utočište</w:t>
            </w:r>
          </w:p>
        </w:tc>
        <w:tc>
          <w:tcPr>
            <w:tcW w:w="7842" w:type="dxa"/>
          </w:tcPr>
          <w:p w14:paraId="3466959B" w14:textId="77777777" w:rsidR="00493C38" w:rsidRPr="00554472" w:rsidRDefault="00493C38" w:rsidP="00D90FAB">
            <w:pPr>
              <w:pStyle w:val="ListParagraph"/>
              <w:tabs>
                <w:tab w:val="left" w:pos="0"/>
              </w:tabs>
              <w:ind w:left="-16"/>
              <w:contextualSpacing w:val="0"/>
              <w:jc w:val="both"/>
              <w:rPr>
                <w:rFonts w:ascii="Times New Roman" w:hAnsi="Times New Roman" w:cs="Times New Roman"/>
                <w:sz w:val="20"/>
                <w:szCs w:val="20"/>
                <w:shd w:val="clear" w:color="auto" w:fill="FFFFFF"/>
              </w:rPr>
            </w:pPr>
            <w:r w:rsidRPr="00554472">
              <w:rPr>
                <w:rFonts w:ascii="Times New Roman" w:eastAsia="Times New Roman" w:hAnsi="Times New Roman" w:cs="Times New Roman"/>
                <w:sz w:val="20"/>
                <w:szCs w:val="20"/>
                <w:lang w:bidi="hr-HR"/>
              </w:rPr>
              <w:t xml:space="preserve">Politički/ekonomski subjekt koji plaća niske poreze ili uopće ne plaća porez na dohodak ili kapitalnu dobit iz stranih izvora te je kao takav privlačan svima koji žele zaštititi svoja sredstva. Glavno obilježje poreznog utočišta je što se njegovi zakoni i druge mjere mogu </w:t>
            </w:r>
            <w:r w:rsidRPr="00554472">
              <w:rPr>
                <w:rFonts w:ascii="Times New Roman" w:eastAsia="Times New Roman" w:hAnsi="Times New Roman" w:cs="Times New Roman"/>
                <w:sz w:val="20"/>
                <w:szCs w:val="20"/>
                <w:lang w:bidi="hr-HR"/>
              </w:rPr>
              <w:lastRenderedPageBreak/>
              <w:t>upotrijebiti za izbjegavanje poreznih zakona ili propisa u drugim jurisdikcijama.</w:t>
            </w:r>
            <w:r w:rsidRPr="00554472">
              <w:rPr>
                <w:rStyle w:val="EndnoteReference"/>
                <w:rFonts w:ascii="Times New Roman" w:eastAsia="Times New Roman" w:hAnsi="Times New Roman" w:cs="Times New Roman"/>
                <w:sz w:val="20"/>
                <w:szCs w:val="20"/>
                <w:lang w:bidi="hr-HR"/>
              </w:rPr>
              <w:endnoteReference w:id="37"/>
            </w:r>
            <w:r w:rsidRPr="00554472">
              <w:rPr>
                <w:rFonts w:ascii="Times New Roman" w:eastAsia="Times New Roman" w:hAnsi="Times New Roman" w:cs="Times New Roman"/>
                <w:sz w:val="20"/>
                <w:szCs w:val="20"/>
                <w:lang w:bidi="hr-HR"/>
              </w:rPr>
              <w:t xml:space="preserve"> Porezna utočišta su obilježena slabim regulatornim sustavima, lošim postupcima za izdavanje dozvola, slabim carinskim kontrolama i neadekvatnim kapacitetima za provođenje zakona. Relativno malen broj ograničenja na financijske transakcije ili korporativne aktivnosti u poreznim utočištima omogućuje povjerljive novčane transakcije i ugrožava identifikaciju i nadzor subjekata koji su uključeni u prijenose oružja. Porezna utočišta često koriste beskrupulozni posrednici, prijevoznici i poduzeća za prijevoz tereta kao pogodno odredište za pranje novca i utaju poreza.</w:t>
            </w:r>
            <w:r w:rsidRPr="00554472">
              <w:rPr>
                <w:rStyle w:val="EndnoteReference"/>
                <w:rFonts w:ascii="Times New Roman" w:eastAsia="Times New Roman" w:hAnsi="Times New Roman" w:cs="Times New Roman"/>
                <w:sz w:val="20"/>
                <w:szCs w:val="20"/>
                <w:lang w:bidi="hr-HR"/>
              </w:rPr>
              <w:endnoteReference w:id="38"/>
            </w:r>
          </w:p>
        </w:tc>
      </w:tr>
    </w:tbl>
    <w:p w14:paraId="5C3EF528" w14:textId="77777777" w:rsidR="00493C38" w:rsidRDefault="00493C38" w:rsidP="00493C38">
      <w:pPr>
        <w:spacing w:after="0" w:line="240" w:lineRule="auto"/>
        <w:jc w:val="both"/>
        <w:rPr>
          <w:rFonts w:ascii="Times New Roman" w:hAnsi="Times New Roman" w:cs="Times New Roman"/>
          <w:sz w:val="20"/>
          <w:szCs w:val="20"/>
        </w:rPr>
      </w:pPr>
    </w:p>
    <w:p w14:paraId="764FF9D0" w14:textId="77777777" w:rsidR="00493C38" w:rsidRPr="00F9335E" w:rsidRDefault="00493C38" w:rsidP="00493C38">
      <w:pPr>
        <w:rPr>
          <w:rFonts w:ascii="Times New Roman" w:hAnsi="Times New Roman" w:cs="Times New Roman"/>
          <w:sz w:val="20"/>
          <w:szCs w:val="20"/>
        </w:rPr>
      </w:pPr>
      <w:r>
        <w:rPr>
          <w:rFonts w:ascii="Times New Roman" w:eastAsia="Times New Roman" w:hAnsi="Times New Roman" w:cs="Times New Roman"/>
          <w:lang w:bidi="hr-HR"/>
        </w:rPr>
        <w:br w:type="page"/>
      </w:r>
    </w:p>
    <w:p w14:paraId="76B96DB3" w14:textId="67B82296" w:rsidR="0040609C" w:rsidRPr="00493C38" w:rsidRDefault="0040609C" w:rsidP="00493C38"/>
    <w:sectPr w:rsidR="0040609C" w:rsidRPr="00493C38">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A00AC" w14:textId="77777777" w:rsidR="00CC5D00" w:rsidRDefault="00CC5D00" w:rsidP="006F2B1A">
      <w:pPr>
        <w:spacing w:after="0" w:line="240" w:lineRule="auto"/>
      </w:pPr>
      <w:r>
        <w:separator/>
      </w:r>
    </w:p>
  </w:endnote>
  <w:endnote w:type="continuationSeparator" w:id="0">
    <w:p w14:paraId="042B1FB0" w14:textId="77777777" w:rsidR="00CC5D00" w:rsidRDefault="00CC5D00" w:rsidP="006F2B1A">
      <w:pPr>
        <w:spacing w:after="0" w:line="240" w:lineRule="auto"/>
      </w:pPr>
      <w:r>
        <w:continuationSeparator/>
      </w:r>
    </w:p>
  </w:endnote>
  <w:endnote w:id="1">
    <w:p w14:paraId="31A9607D"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"OSCE Handbook of Best Practices on Conventional Ammunition,” Organizacija za europsku sigurnost i suradnju (OESS), 2008., &lt;www.osce.org/fsc/33371?download=true&gt;.</w:t>
      </w:r>
    </w:p>
  </w:endnote>
  <w:endnote w:id="2">
    <w:p w14:paraId="49E75A33"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“Report of Governmental Experts on Small Arms”, A/52/298, članak 26c i 27., Ujedinjeni narodi, kolovoz 1997., &lt;http://www.un.org/Depts/ddar/Firstcom/SGreport52/a52298.html&gt;.</w:t>
      </w:r>
    </w:p>
  </w:endnote>
  <w:endnote w:id="3">
    <w:p w14:paraId="4B7C389C"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Protokol protiv nezakonite proizvodnje i trgovanja vatrenim oružjem, njihovim dijelovima i komponentama te streljivom, članak 3a, &lt;https://treaties.un.org/doc/source/RecentTexts/18-12_c_E.pdf&gt;.</w:t>
      </w:r>
    </w:p>
  </w:endnote>
  <w:endnote w:id="4">
    <w:p w14:paraId="77948997"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color w:val="222222"/>
          <w:sz w:val="18"/>
          <w:szCs w:val="18"/>
          <w:shd w:val="clear" w:color="auto" w:fill="FFFFFF"/>
          <w:lang w:bidi="hr-HR"/>
        </w:rPr>
        <w:t xml:space="preserve">Dokument UN-a A/62/163: </w:t>
      </w:r>
      <w:r w:rsidRPr="00FC6D7D">
        <w:rPr>
          <w:rFonts w:ascii="Times New Roman" w:eastAsia="Times New Roman" w:hAnsi="Times New Roman" w:cs="Times New Roman"/>
          <w:sz w:val="18"/>
          <w:szCs w:val="18"/>
          <w:lang w:bidi="hr-HR"/>
        </w:rPr>
        <w:t>Izvješće Skupine vladinih stručnjaka osnovane u skladu s Rezolucijom 60/81 Generalne skupštine da razmotri daljnje korake za unapređenje međunarodne suradnje u sprječavanju, suzbijanju i iskorjenjivanju ilegalnog posredovanja s malim i lakim oružjem, Opća skupština Ujedinjenih naroda, 30. kolovoza 2007., &lt; www.poa-iss.org/BrokeringControls/English_N0744232.pdf&gt;.</w:t>
      </w:r>
    </w:p>
  </w:endnote>
  <w:endnote w:id="5">
    <w:p w14:paraId="186F6CA7"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i/>
          <w:sz w:val="18"/>
          <w:szCs w:val="18"/>
          <w:lang w:bidi="hr-HR"/>
        </w:rPr>
        <w:t xml:space="preserve"> Small Arms Survey 2001: Profiling the Problem</w:t>
      </w:r>
      <w:r w:rsidRPr="00FC6D7D">
        <w:rPr>
          <w:rFonts w:ascii="Times New Roman" w:eastAsia="Times New Roman" w:hAnsi="Times New Roman" w:cs="Times New Roman"/>
          <w:sz w:val="18"/>
          <w:szCs w:val="18"/>
          <w:lang w:bidi="hr-HR"/>
        </w:rPr>
        <w:t xml:space="preserve">, Graduate Institute of International Studies, Ženeva, Oxford University Press, 2001., poglavlje 3., &lt;http://www.smallarmssurvey.org/publications/by-type/yearbook/small-arms-survey-2001.html#c2973&gt;. </w:t>
      </w:r>
      <w:hyperlink r:id="rId1" w:history="1">
        <w:r w:rsidR="0064313B" w:rsidRPr="0064313B">
          <w:rPr>
            <w:rStyle w:val="Hyperlink"/>
            <w:sz w:val="22"/>
            <w:szCs w:val="22"/>
          </w:rPr>
          <w:t>http://www.smallarmssurvey.org/fileadmin/docs/A-Yearbook/2001/en/Small-Arms-Survey-2001-Chapter-03-EN.pdf</w:t>
        </w:r>
      </w:hyperlink>
    </w:p>
  </w:endnote>
  <w:endnote w:id="6">
    <w:p w14:paraId="05A813D2"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„Razvoj mehanizma za sprječavanje nezakonitog posredovanja u prodaji malog i lakog oružja“:</w:t>
      </w: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Područje primjene i implikacije“, Institut Ujedinjenih naroda za istraživanje razoružanja (UNIDR), 2006., &lt;www.unidir.org/files/publications/pdfs/developing-a-mechanism-to-prevent-illicit-brokering-in-small-arms-and-light-weapons-scope-and-implications-328.pdf&gt;; Holder Anders i Silvia Catteneo, „Taking Stock and Moving Forward the United Nations Process“, Groupe de Recherche et d‘Information sur la Paix et la Securité (GRIP), 2005., &lt;http://issat.dcaf.ch/content /download/9789/93715/file/Anders-Cattaneo2005-hs1.pdf&gt;.</w:t>
      </w:r>
    </w:p>
  </w:endnote>
  <w:endnote w:id="7">
    <w:p w14:paraId="1C0D07E7" w14:textId="77777777" w:rsidR="00493C38" w:rsidRPr="00FC6D7D" w:rsidRDefault="00493C38" w:rsidP="00493C38">
      <w:pPr>
        <w:tabs>
          <w:tab w:val="left" w:pos="3807"/>
        </w:tabs>
        <w:spacing w:after="0" w:line="240" w:lineRule="auto"/>
        <w:rPr>
          <w:rFonts w:ascii="Times New Roman" w:hAnsi="Times New Roman" w:cs="Times New Roman"/>
          <w:sz w:val="18"/>
          <w:szCs w:val="18"/>
          <w:u w:val="single"/>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Zajedničko stajalište EU-a o posredovanju u prodaji oružja, članak 2. i 3., </w:t>
      </w:r>
      <w:r w:rsidRPr="00FC6D7D">
        <w:rPr>
          <w:rFonts w:ascii="Times New Roman" w:eastAsia="Times New Roman" w:hAnsi="Times New Roman" w:cs="Times New Roman"/>
          <w:i/>
          <w:sz w:val="18"/>
          <w:szCs w:val="18"/>
          <w:lang w:bidi="hr-HR"/>
        </w:rPr>
        <w:t>Službeni list Europske unije</w:t>
      </w:r>
      <w:r w:rsidRPr="00FC6D7D">
        <w:rPr>
          <w:rFonts w:ascii="Times New Roman" w:eastAsia="Times New Roman" w:hAnsi="Times New Roman" w:cs="Times New Roman"/>
          <w:sz w:val="18"/>
          <w:szCs w:val="18"/>
          <w:lang w:bidi="hr-HR"/>
        </w:rPr>
        <w:t>, 23. lipnja 2003., &lt;http://eur-lex.europa.eu/LexUriServ/LexUriServ.do?uri=OJ:L:2003 : 156: 0079: 0080: EN: PDF&gt;. Zajedničko stajalište OESS-a i EU-a o posredovanju u prodaji oružja definira "posrednike u prodaji oružja" kao: osobe ili subjekte koji pregovaraju ili dogovaraju transakcije koje mogu uključivati prijenos robe iz Zajedničkog popisa robe vojne namjene EU-a iz neke treće zemlje u bilo koju drugu treću zemlju; ili fizičke ili pravne osobe koje kupuju, prodaju ili dogovaraju prijenos takve robe koja je u njihovom vlasništvu iz neke treće zemlje u bilo koju drugu treću zemlju.</w:t>
      </w:r>
    </w:p>
  </w:endnote>
  <w:endnote w:id="8">
    <w:p w14:paraId="3AF4EDA1"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„Razvoj mehanizma za sprječavanje nezakonitog posredovanja u prodaji malog i lakog oružja“:</w:t>
      </w: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Područje primjene i implikacije,” UNIDR, 2006.  </w:t>
      </w:r>
    </w:p>
  </w:endnote>
  <w:endnote w:id="9">
    <w:p w14:paraId="614D029E"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i/>
          <w:sz w:val="18"/>
          <w:szCs w:val="18"/>
          <w:lang w:bidi="hr-HR"/>
        </w:rPr>
        <w:t xml:space="preserve"> Small Arms Survey 2001: Profiling the Problem</w:t>
      </w:r>
      <w:r w:rsidRPr="00FC6D7D">
        <w:rPr>
          <w:rFonts w:ascii="Times New Roman" w:eastAsia="Times New Roman" w:hAnsi="Times New Roman" w:cs="Times New Roman"/>
          <w:sz w:val="18"/>
          <w:szCs w:val="18"/>
          <w:lang w:bidi="hr-HR"/>
        </w:rPr>
        <w:t>, 2001., str. 129.</w:t>
      </w:r>
    </w:p>
  </w:endnote>
  <w:endnote w:id="10">
    <w:p w14:paraId="626A4C06"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“Arms Embargo: Explanation of Terms,” United Nations Sanctions Committee 1267, 30. prosinca 2013., &lt;www.un.org/sc/committees/1267/pdf/EOT%20Arms%20embargo_ENGLISH.pdf&gt;.</w:t>
      </w:r>
    </w:p>
  </w:endnote>
  <w:endnote w:id="11">
    <w:p w14:paraId="22F38036"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Povelja Ujedinjenih naroda, članak 41., Ujedinjeni narodi, &lt;https://www.un.org/en/documents/charter/&gt;.</w:t>
      </w:r>
    </w:p>
  </w:endnote>
  <w:endnote w:id="12">
    <w:p w14:paraId="728A5F05"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Paul Holtom and Mark Bromley, “The International Arms Trade: Difficult to Define, Measure, and Control,” </w:t>
      </w:r>
      <w:r w:rsidRPr="00FC6D7D">
        <w:rPr>
          <w:rFonts w:ascii="Times New Roman" w:eastAsia="Times New Roman" w:hAnsi="Times New Roman" w:cs="Times New Roman"/>
          <w:i/>
          <w:sz w:val="18"/>
          <w:szCs w:val="18"/>
          <w:lang w:bidi="hr-HR"/>
        </w:rPr>
        <w:t>Arms Control Today</w:t>
      </w:r>
      <w:r w:rsidRPr="00FC6D7D">
        <w:rPr>
          <w:rFonts w:ascii="Times New Roman" w:eastAsia="Times New Roman" w:hAnsi="Times New Roman" w:cs="Times New Roman"/>
          <w:sz w:val="18"/>
          <w:szCs w:val="18"/>
          <w:lang w:bidi="hr-HR"/>
        </w:rPr>
        <w:t>, srpanj/kolovoz 2010., &lt;http://www.armscontrol.org/act/2010_07-08/holtom-bromley#3&gt;.</w:t>
      </w:r>
    </w:p>
  </w:endnote>
  <w:endnote w:id="13">
    <w:p w14:paraId="416C46FD"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“Nobel Peace Laureates' International Code of Conduct on Arms Transfers May 1997,” Nuclear Age Peace Foundation, 1997., &lt;https://www.wagingpeace.org/articles/1997/05/00_nobel-code-conduct.htm&gt;.</w:t>
      </w:r>
    </w:p>
  </w:endnote>
  <w:endnote w:id="14">
    <w:p w14:paraId="71EC41A2"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i/>
          <w:sz w:val="18"/>
          <w:szCs w:val="18"/>
          <w:lang w:bidi="hr-HR"/>
        </w:rPr>
        <w:t xml:space="preserve"> Small Arms Survey 2001: Profiling the Problem</w:t>
      </w:r>
      <w:r w:rsidRPr="00FC6D7D">
        <w:rPr>
          <w:rFonts w:ascii="Times New Roman" w:eastAsia="Times New Roman" w:hAnsi="Times New Roman" w:cs="Times New Roman"/>
          <w:sz w:val="18"/>
          <w:szCs w:val="18"/>
          <w:lang w:bidi="hr-HR"/>
        </w:rPr>
        <w:t>, 2001., poglavlje 167.</w:t>
      </w:r>
    </w:p>
  </w:endnote>
  <w:endnote w:id="15">
    <w:p w14:paraId="0F9EC902"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“The Illicit Arms Trade,” Udruženje američkih znanstvenika (FAS), sažetak izdanja # 3, 2008., &lt;http://www.fas.org/asmp/campaigns/smallarms/IssueBrief3ArmsTrafficking.html#ter&gt;, i </w:t>
      </w:r>
      <w:r w:rsidRPr="00FC6D7D">
        <w:rPr>
          <w:rFonts w:ascii="Times New Roman" w:eastAsia="Times New Roman" w:hAnsi="Times New Roman" w:cs="Times New Roman"/>
          <w:i/>
          <w:sz w:val="18"/>
          <w:szCs w:val="18"/>
          <w:lang w:bidi="hr-HR"/>
        </w:rPr>
        <w:t>Small Arms Survey 2001: Profiling the Problem</w:t>
      </w:r>
      <w:r w:rsidRPr="00FC6D7D">
        <w:rPr>
          <w:rFonts w:ascii="Times New Roman" w:eastAsia="Times New Roman" w:hAnsi="Times New Roman" w:cs="Times New Roman"/>
          <w:sz w:val="18"/>
          <w:szCs w:val="18"/>
          <w:lang w:bidi="hr-HR"/>
        </w:rPr>
        <w:t>, 2001., poglavlje 5.</w:t>
      </w:r>
    </w:p>
  </w:endnote>
  <w:endnote w:id="16">
    <w:p w14:paraId="59920D71"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„Razvoj mehanizma za sprječavanje nezakonitog posredovanja u prodaji malog i lakog oružja“:</w:t>
      </w: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Područje primjene i implikacije,” UNIDR, 2006. </w:t>
      </w:r>
    </w:p>
  </w:endnote>
  <w:endnote w:id="17">
    <w:p w14:paraId="531A9F56"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„Popis nacionalnih izvješća država članica podnositeljica,” Odbor UNSCR 1540, 2013., &lt;http://www.un.org/en/ga/search/view_doc.asp?symbol=S/RES/1540 (2004)&gt;.</w:t>
      </w:r>
    </w:p>
  </w:endnote>
  <w:endnote w:id="18">
    <w:p w14:paraId="3F5F86AD"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https://books.google.com/books?id=LNRMAgAAQBAJ&amp;pg=PA345&amp;lpg=PA345&amp;dq=%22Delivery+Verification+Certificate%22+AND+Export+Controls&amp;source=bl&amp;ots=jxTL0w8ugX&amp;sig=xQ1R8wSiL4NmUHYHdSHlVaosJCk&amp;hl=en&amp;sa=X&amp;ved=0ahUKEwiUvIqb8JPNAhUGWSYKHbV9CjA4ChDoAQgoMAA#v=onepage&amp;q =% 22Delivery% 20Verification% 20Certificate% 22% 20i% 20Export% 20Controls&amp;f=false</w:t>
      </w:r>
    </w:p>
  </w:endnote>
  <w:endnote w:id="19">
    <w:p w14:paraId="4EBE6BEB"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https://www.law.cornell.edu/uscode/text/22/8543</w:t>
      </w:r>
    </w:p>
  </w:endnote>
  <w:endnote w:id="20">
    <w:p w14:paraId="7A3F04BD"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"Definicije pojmova na popisima", Sporazum iz Wassenaara, CTP, 2016, &lt;http://wa.ctp-inc.com/index/index/view/content/page/Definitions.html&gt;.</w:t>
      </w:r>
    </w:p>
  </w:endnote>
  <w:endnote w:id="21">
    <w:p w14:paraId="5EA5B5DA"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color w:val="222222"/>
          <w:sz w:val="18"/>
          <w:szCs w:val="18"/>
          <w:shd w:val="clear" w:color="auto" w:fill="FFFFFF"/>
          <w:lang w:bidi="hr-HR"/>
        </w:rPr>
        <w:t xml:space="preserve">Dokument UN-a A/62/163: </w:t>
      </w:r>
      <w:r w:rsidRPr="00FC6D7D">
        <w:rPr>
          <w:rFonts w:ascii="Times New Roman" w:eastAsia="Times New Roman" w:hAnsi="Times New Roman" w:cs="Times New Roman"/>
          <w:sz w:val="18"/>
          <w:szCs w:val="18"/>
          <w:lang w:bidi="hr-HR"/>
        </w:rPr>
        <w:t>Izvještaj Grupe vladinih stručnjaka osnovane u skladu s rezolucijom Generalne skupštine 60/81 kako bi razmotrili daljnje korake za unaprjeđenje međunarodne suradnje u sprječavanju, suzbijanju i iskorjenjivanju nezakonitog posredovanja u prodaji malog i lakog oružja, Opća skupština Ujedinjenih naroda, 30. kolovoza 2007.</w:t>
      </w:r>
    </w:p>
  </w:endnote>
  <w:endnote w:id="22">
    <w:p w14:paraId="163E5B51"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„Razvoj mehanizma za sprječavanje nezakonitog posredovanja u prodaji malog i lakog oružja“:</w:t>
      </w: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Područje primjene i implikacije,” UNIDR, 2006.</w:t>
      </w:r>
    </w:p>
  </w:endnote>
  <w:endnote w:id="23">
    <w:p w14:paraId="7141F436"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Protokol protiv nezakonite proizvodnje i trgovanja vatrenim oružjem, njihovim dijelovima i komponentama te streljivom, članak 3a, &lt;https://treaties.un.org/doc/source/RecentTexts/3-12_c_E.pdf&gt;. </w:t>
      </w:r>
    </w:p>
  </w:endnote>
  <w:endnote w:id="24">
    <w:p w14:paraId="0A42A7E4"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Rosenberg, </w:t>
      </w:r>
      <w:r w:rsidRPr="00FC6D7D">
        <w:rPr>
          <w:rFonts w:ascii="Times New Roman" w:eastAsia="Times New Roman" w:hAnsi="Times New Roman" w:cs="Times New Roman"/>
          <w:i/>
          <w:sz w:val="18"/>
          <w:szCs w:val="18"/>
          <w:lang w:bidi="hr-HR"/>
        </w:rPr>
        <w:t>The Essential Dictionary of International Trade</w:t>
      </w:r>
      <w:r w:rsidRPr="00FC6D7D">
        <w:rPr>
          <w:rFonts w:ascii="Times New Roman" w:eastAsia="Times New Roman" w:hAnsi="Times New Roman" w:cs="Times New Roman"/>
          <w:sz w:val="18"/>
          <w:szCs w:val="18"/>
          <w:lang w:bidi="hr-HR"/>
        </w:rPr>
        <w:t>, 2004., str. 184.</w:t>
      </w:r>
    </w:p>
  </w:endnote>
  <w:endnote w:id="25">
    <w:p w14:paraId="3A2F9B70"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http://www.unzco.com/infosource/glossary.htm#B</w:t>
      </w:r>
    </w:p>
  </w:endnote>
  <w:endnote w:id="26">
    <w:p w14:paraId="4F6AE7B6"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“United Nations International Ammunition Technical Guideline (IATG) Glossary of Terms, Definitions and Abbreviations,” UNODA, 1. listopada, 2011.</w:t>
      </w:r>
    </w:p>
  </w:endnote>
  <w:endnote w:id="27">
    <w:p w14:paraId="53480AA8"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Paul Holtom and Mark Bromley, “The International Arms Trade: Difficult to Define, Measure, and Control,” </w:t>
      </w:r>
      <w:r w:rsidRPr="00FC6D7D">
        <w:rPr>
          <w:rFonts w:ascii="Times New Roman" w:eastAsia="Times New Roman" w:hAnsi="Times New Roman" w:cs="Times New Roman"/>
          <w:i/>
          <w:sz w:val="18"/>
          <w:szCs w:val="18"/>
          <w:lang w:bidi="hr-HR"/>
        </w:rPr>
        <w:t>Arms Control Today</w:t>
      </w:r>
      <w:r w:rsidRPr="00FC6D7D">
        <w:rPr>
          <w:rFonts w:ascii="Times New Roman" w:eastAsia="Times New Roman" w:hAnsi="Times New Roman" w:cs="Times New Roman"/>
          <w:sz w:val="18"/>
          <w:szCs w:val="18"/>
          <w:lang w:bidi="hr-HR"/>
        </w:rPr>
        <w:t>, srpanj/kolovoz 2010., &lt;http://www.armscontrol.org/act/2010_07-08/holtom-bromley#3&gt;.</w:t>
      </w:r>
    </w:p>
  </w:endnote>
  <w:endnote w:id="28">
    <w:p w14:paraId="0DCDAB32"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“Arms Export Control,” mrežna stranica Europske službe za vanjsko djelovanje, 2013., &lt;http://eeas.europa.eu/non-proliferation-and-disarmament/arms-export-control/index_en.htm&gt;.</w:t>
      </w:r>
    </w:p>
  </w:endnote>
  <w:endnote w:id="29">
    <w:p w14:paraId="262D60AD"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Protokol UN-a nezakonite proizvodnje i trgovanja vatrenim oružjem, njegovim dijelovima i komponentama te streljivom, članak 3 (b).</w:t>
      </w:r>
    </w:p>
  </w:endnote>
  <w:endnote w:id="30">
    <w:p w14:paraId="35E29993"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color w:val="222222"/>
          <w:sz w:val="18"/>
          <w:szCs w:val="18"/>
          <w:shd w:val="clear" w:color="auto" w:fill="FFFFFF"/>
          <w:lang w:bidi="hr-HR"/>
        </w:rPr>
        <w:t xml:space="preserve">Dokument UN-a A/62/163: </w:t>
      </w:r>
      <w:r w:rsidRPr="00FC6D7D">
        <w:rPr>
          <w:rFonts w:ascii="Times New Roman" w:eastAsia="Times New Roman" w:hAnsi="Times New Roman" w:cs="Times New Roman"/>
          <w:sz w:val="18"/>
          <w:szCs w:val="18"/>
          <w:lang w:bidi="hr-HR"/>
        </w:rPr>
        <w:t>Izvještaj Grupe vladinih stručnjaka osnovane u skladu s rezolucijom Generalne skupštine 60/81 kako bi razmotrili daljnje korake za unaprjeđenje međunarodne suradnje u sprječavanju, suzbijanju i iskorjenjivanju nezakonitog posredovanja u prodaji malog i lakog oružja, Opća skupština Ujedinjenih naroda, 30. kolovoza 2007.</w:t>
      </w:r>
    </w:p>
  </w:endnote>
  <w:endnote w:id="31">
    <w:p w14:paraId="512A763E"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Anders and Catteneo, “Taking Stock and Moving Forward the United Nations Process,” 2005.</w:t>
      </w:r>
    </w:p>
  </w:endnote>
  <w:endnote w:id="32">
    <w:p w14:paraId="6506FA31"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"Definitions of Terms in these Lists," Wassenaar Arrangement, CTP, 2016.</w:t>
      </w:r>
    </w:p>
  </w:endnote>
  <w:endnote w:id="33">
    <w:p w14:paraId="57B9298D"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„Razvoj mehanizma za sprječavanje nezakonitog posredovanja u prodaji malog i lakog oružja“:</w:t>
      </w: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Područje primjene i implikacije,” UNIDR, 2006.</w:t>
      </w:r>
    </w:p>
  </w:endnote>
  <w:endnote w:id="34">
    <w:p w14:paraId="757BFACF"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AB4F8B">
        <w:rPr>
          <w:rFonts w:ascii="Times New Roman" w:eastAsia="Times New Roman" w:hAnsi="Times New Roman" w:cs="Times New Roman"/>
          <w:sz w:val="18"/>
          <w:szCs w:val="18"/>
          <w:lang w:bidi="hr-HR"/>
        </w:rPr>
        <w:t xml:space="preserve"> "Definitions of Small Arms and Light Weapons," Small Arms Survey, 2017., &lt;www.smallarmssurvey.org/weapons-and-markets/definitions.html&gt;.</w:t>
      </w:r>
    </w:p>
  </w:endnote>
  <w:endnote w:id="35">
    <w:p w14:paraId="3051C951"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AB4F8B">
        <w:rPr>
          <w:rFonts w:ascii="Times New Roman" w:eastAsia="Times New Roman" w:hAnsi="Times New Roman" w:cs="Times New Roman"/>
          <w:sz w:val="18"/>
          <w:szCs w:val="18"/>
          <w:lang w:bidi="hr-HR"/>
        </w:rPr>
        <w:t xml:space="preserve"> Definitions of Small Arms and Light Weapons," Small Arms Survey, 2017. </w:t>
      </w:r>
    </w:p>
  </w:endnote>
  <w:endnote w:id="36">
    <w:p w14:paraId="4CA4F47A"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AB4F8B">
        <w:rPr>
          <w:rFonts w:ascii="Times New Roman" w:eastAsia="Times New Roman" w:hAnsi="Times New Roman" w:cs="Times New Roman"/>
          <w:sz w:val="18"/>
          <w:szCs w:val="18"/>
          <w:lang w:bidi="hr-HR"/>
        </w:rPr>
        <w:t xml:space="preserve"> Definitions of Small Arms and Light Weapons," Small Arms Survey, 2017.</w:t>
      </w:r>
    </w:p>
  </w:endnote>
  <w:endnote w:id="37">
    <w:p w14:paraId="6F43D42B" w14:textId="77777777" w:rsidR="00493C38" w:rsidRPr="00FC6D7D" w:rsidRDefault="00493C38" w:rsidP="00493C38">
      <w:pPr>
        <w:pStyle w:val="EndnoteText"/>
        <w:tabs>
          <w:tab w:val="left" w:pos="3807"/>
        </w:tabs>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sz w:val="18"/>
          <w:szCs w:val="18"/>
          <w:lang w:bidi="hr-HR"/>
        </w:rPr>
        <w:t xml:space="preserve"> Rosenberg, </w:t>
      </w:r>
      <w:r w:rsidRPr="00FC6D7D">
        <w:rPr>
          <w:rFonts w:ascii="Times New Roman" w:eastAsia="Times New Roman" w:hAnsi="Times New Roman" w:cs="Times New Roman"/>
          <w:i/>
          <w:sz w:val="18"/>
          <w:szCs w:val="18"/>
          <w:lang w:bidi="hr-HR"/>
        </w:rPr>
        <w:t>The Essential Dictionary of International Trade</w:t>
      </w:r>
      <w:r w:rsidRPr="00FC6D7D">
        <w:rPr>
          <w:rFonts w:ascii="Times New Roman" w:eastAsia="Times New Roman" w:hAnsi="Times New Roman" w:cs="Times New Roman"/>
          <w:sz w:val="18"/>
          <w:szCs w:val="18"/>
          <w:lang w:bidi="hr-HR"/>
        </w:rPr>
        <w:t>, 2004., str. 400.</w:t>
      </w:r>
    </w:p>
  </w:endnote>
  <w:endnote w:id="38">
    <w:p w14:paraId="182F6C63" w14:textId="77777777" w:rsidR="00493C38" w:rsidRPr="00FC6D7D" w:rsidRDefault="00493C38" w:rsidP="00493C38">
      <w:pPr>
        <w:tabs>
          <w:tab w:val="left" w:pos="3807"/>
        </w:tabs>
        <w:spacing w:after="0" w:line="240" w:lineRule="auto"/>
        <w:rPr>
          <w:rFonts w:ascii="Times New Roman" w:hAnsi="Times New Roman" w:cs="Times New Roman"/>
          <w:sz w:val="18"/>
          <w:szCs w:val="18"/>
        </w:rPr>
      </w:pPr>
      <w:r w:rsidRPr="00FC6D7D">
        <w:rPr>
          <w:rStyle w:val="EndnoteReference"/>
          <w:rFonts w:ascii="Times New Roman" w:eastAsia="Times New Roman" w:hAnsi="Times New Roman" w:cs="Times New Roman"/>
          <w:sz w:val="18"/>
          <w:szCs w:val="18"/>
          <w:lang w:bidi="hr-HR"/>
        </w:rPr>
        <w:endnoteRef/>
      </w:r>
      <w:r w:rsidRPr="00FC6D7D">
        <w:rPr>
          <w:rFonts w:ascii="Times New Roman" w:eastAsia="Times New Roman" w:hAnsi="Times New Roman" w:cs="Times New Roman"/>
          <w:i/>
          <w:sz w:val="18"/>
          <w:szCs w:val="18"/>
          <w:lang w:bidi="hr-HR"/>
        </w:rPr>
        <w:t xml:space="preserve"> Small Arms Survey 2001: Profiling the Problem</w:t>
      </w:r>
      <w:r w:rsidRPr="00FC6D7D">
        <w:rPr>
          <w:rFonts w:ascii="Times New Roman" w:eastAsia="Times New Roman" w:hAnsi="Times New Roman" w:cs="Times New Roman"/>
          <w:sz w:val="18"/>
          <w:szCs w:val="18"/>
          <w:lang w:bidi="hr-HR"/>
        </w:rPr>
        <w:t>, 2001., poglavlje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55236"/>
      <w:docPartObj>
        <w:docPartGallery w:val="Page Numbers (Bottom of Page)"/>
        <w:docPartUnique/>
      </w:docPartObj>
    </w:sdtPr>
    <w:sdtEndPr>
      <w:rPr>
        <w:noProof/>
      </w:rPr>
    </w:sdtEndPr>
    <w:sdtContent>
      <w:p w14:paraId="205EAA13" w14:textId="04644C37" w:rsidR="002E6FEC" w:rsidRDefault="002E6FEC">
        <w:pPr>
          <w:pStyle w:val="Footer"/>
          <w:jc w:val="right"/>
        </w:pPr>
        <w:r>
          <w:rPr>
            <w:lang w:bidi="hr-HR"/>
          </w:rPr>
          <w:fldChar w:fldCharType="begin"/>
        </w:r>
        <w:r>
          <w:rPr>
            <w:lang w:bidi="hr-HR"/>
          </w:rPr>
          <w:instrText xml:space="preserve"> PAGE   \* MERGEFORMAT </w:instrText>
        </w:r>
        <w:r>
          <w:rPr>
            <w:lang w:bidi="hr-HR"/>
          </w:rPr>
          <w:fldChar w:fldCharType="separate"/>
        </w:r>
        <w:r w:rsidR="002141D3">
          <w:rPr>
            <w:noProof/>
            <w:lang w:bidi="hr-HR"/>
          </w:rPr>
          <w:t>2</w:t>
        </w:r>
        <w:r>
          <w:rPr>
            <w:noProof/>
            <w:lang w:bidi="hr-HR"/>
          </w:rPr>
          <w:fldChar w:fldCharType="end"/>
        </w:r>
      </w:p>
    </w:sdtContent>
  </w:sdt>
  <w:p w14:paraId="6AAF58DE" w14:textId="77777777" w:rsidR="002E6FEC" w:rsidRDefault="002E6F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2DDB1" w14:textId="77777777" w:rsidR="00CC5D00" w:rsidRDefault="00CC5D00" w:rsidP="006F2B1A">
      <w:pPr>
        <w:spacing w:after="0" w:line="240" w:lineRule="auto"/>
      </w:pPr>
      <w:r>
        <w:separator/>
      </w:r>
    </w:p>
  </w:footnote>
  <w:footnote w:type="continuationSeparator" w:id="0">
    <w:p w14:paraId="4DCD5E7B" w14:textId="77777777" w:rsidR="00CC5D00" w:rsidRDefault="00CC5D00" w:rsidP="006F2B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FAD"/>
    <w:multiLevelType w:val="hybridMultilevel"/>
    <w:tmpl w:val="3272A380"/>
    <w:lvl w:ilvl="0" w:tplc="173EEF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20B0"/>
    <w:multiLevelType w:val="hybridMultilevel"/>
    <w:tmpl w:val="8C82CDA4"/>
    <w:lvl w:ilvl="0" w:tplc="99E8EFD2">
      <w:start w:val="1"/>
      <w:numFmt w:val="bullet"/>
      <w:lvlText w:val=""/>
      <w:lvlJc w:val="left"/>
      <w:pPr>
        <w:ind w:left="720" w:hanging="360"/>
      </w:pPr>
      <w:rPr>
        <w:rFonts w:ascii="Wingdings" w:hAnsi="Wingding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0200B"/>
    <w:multiLevelType w:val="hybridMultilevel"/>
    <w:tmpl w:val="914EF4E8"/>
    <w:lvl w:ilvl="0" w:tplc="0409000F">
      <w:start w:val="1"/>
      <w:numFmt w:val="decimal"/>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3">
    <w:nsid w:val="0F0E3237"/>
    <w:multiLevelType w:val="hybridMultilevel"/>
    <w:tmpl w:val="4CE8CFF2"/>
    <w:lvl w:ilvl="0" w:tplc="0409000D">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0E208E"/>
    <w:multiLevelType w:val="hybridMultilevel"/>
    <w:tmpl w:val="4F7221C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6018F"/>
    <w:multiLevelType w:val="hybridMultilevel"/>
    <w:tmpl w:val="2FCC27A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061DF"/>
    <w:multiLevelType w:val="hybridMultilevel"/>
    <w:tmpl w:val="8CF40BE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B520C"/>
    <w:multiLevelType w:val="hybridMultilevel"/>
    <w:tmpl w:val="A1AA7CE0"/>
    <w:lvl w:ilvl="0" w:tplc="173EEF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A51DD"/>
    <w:multiLevelType w:val="hybridMultilevel"/>
    <w:tmpl w:val="C3E26574"/>
    <w:lvl w:ilvl="0" w:tplc="0409000D">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4D2179"/>
    <w:multiLevelType w:val="hybridMultilevel"/>
    <w:tmpl w:val="8E28F9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AA6457"/>
    <w:multiLevelType w:val="hybridMultilevel"/>
    <w:tmpl w:val="4D54DD00"/>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39CD2C5F"/>
    <w:multiLevelType w:val="hybridMultilevel"/>
    <w:tmpl w:val="EAC8ADF0"/>
    <w:lvl w:ilvl="0" w:tplc="DF02C9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63F8C"/>
    <w:multiLevelType w:val="hybridMultilevel"/>
    <w:tmpl w:val="EFE000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436B0C"/>
    <w:multiLevelType w:val="hybridMultilevel"/>
    <w:tmpl w:val="80387592"/>
    <w:lvl w:ilvl="0" w:tplc="9C7CB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C4BBB"/>
    <w:multiLevelType w:val="hybridMultilevel"/>
    <w:tmpl w:val="3240087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35746"/>
    <w:multiLevelType w:val="hybridMultilevel"/>
    <w:tmpl w:val="5A74ACA6"/>
    <w:lvl w:ilvl="0" w:tplc="173EEF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027AF"/>
    <w:multiLevelType w:val="hybridMultilevel"/>
    <w:tmpl w:val="392E1A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A17329"/>
    <w:multiLevelType w:val="hybridMultilevel"/>
    <w:tmpl w:val="851CF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428AD"/>
    <w:multiLevelType w:val="hybridMultilevel"/>
    <w:tmpl w:val="4FAC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E6225"/>
    <w:multiLevelType w:val="hybridMultilevel"/>
    <w:tmpl w:val="D42AF2D2"/>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nsid w:val="4BC4549D"/>
    <w:multiLevelType w:val="hybridMultilevel"/>
    <w:tmpl w:val="88E2D2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CA6AFA"/>
    <w:multiLevelType w:val="hybridMultilevel"/>
    <w:tmpl w:val="86E8F35A"/>
    <w:lvl w:ilvl="0" w:tplc="7F8460A0">
      <w:start w:val="1"/>
      <w:numFmt w:val="decimal"/>
      <w:lvlText w:val="%1)"/>
      <w:lvlJc w:val="left"/>
      <w:pPr>
        <w:ind w:left="1080" w:hanging="360"/>
      </w:pPr>
      <w:rPr>
        <w:rFonts w:hint="default"/>
        <w:b/>
        <w:i w:val="0"/>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50DB204D"/>
    <w:multiLevelType w:val="hybridMultilevel"/>
    <w:tmpl w:val="269A677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72DD5"/>
    <w:multiLevelType w:val="hybridMultilevel"/>
    <w:tmpl w:val="F28C67B4"/>
    <w:lvl w:ilvl="0" w:tplc="173EEFC0">
      <w:start w:val="1"/>
      <w:numFmt w:val="bullet"/>
      <w:lvlText w:val=""/>
      <w:lvlJc w:val="left"/>
      <w:pPr>
        <w:ind w:left="704" w:hanging="360"/>
      </w:pPr>
      <w:rPr>
        <w:rFonts w:ascii="Wingdings" w:hAnsi="Wingdings" w:hint="default"/>
        <w:color w:val="auto"/>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4">
    <w:nsid w:val="56967C31"/>
    <w:multiLevelType w:val="hybridMultilevel"/>
    <w:tmpl w:val="9CCA7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C252A"/>
    <w:multiLevelType w:val="hybridMultilevel"/>
    <w:tmpl w:val="EF4C0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3F6E19"/>
    <w:multiLevelType w:val="hybridMultilevel"/>
    <w:tmpl w:val="1E82A1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00F67"/>
    <w:multiLevelType w:val="hybridMultilevel"/>
    <w:tmpl w:val="25300620"/>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412C0"/>
    <w:multiLevelType w:val="hybridMultilevel"/>
    <w:tmpl w:val="22E04E3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9">
    <w:nsid w:val="6E0746F1"/>
    <w:multiLevelType w:val="hybridMultilevel"/>
    <w:tmpl w:val="9ADA1C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243286"/>
    <w:multiLevelType w:val="hybridMultilevel"/>
    <w:tmpl w:val="D610C350"/>
    <w:lvl w:ilvl="0" w:tplc="173EEFC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15"/>
  </w:num>
  <w:num w:numId="5">
    <w:abstractNumId w:val="26"/>
  </w:num>
  <w:num w:numId="6">
    <w:abstractNumId w:val="10"/>
  </w:num>
  <w:num w:numId="7">
    <w:abstractNumId w:val="7"/>
  </w:num>
  <w:num w:numId="8">
    <w:abstractNumId w:val="21"/>
  </w:num>
  <w:num w:numId="9">
    <w:abstractNumId w:val="23"/>
  </w:num>
  <w:num w:numId="10">
    <w:abstractNumId w:val="24"/>
  </w:num>
  <w:num w:numId="11">
    <w:abstractNumId w:val="6"/>
  </w:num>
  <w:num w:numId="12">
    <w:abstractNumId w:val="4"/>
  </w:num>
  <w:num w:numId="13">
    <w:abstractNumId w:val="5"/>
  </w:num>
  <w:num w:numId="14">
    <w:abstractNumId w:val="12"/>
  </w:num>
  <w:num w:numId="15">
    <w:abstractNumId w:val="9"/>
  </w:num>
  <w:num w:numId="16">
    <w:abstractNumId w:val="3"/>
  </w:num>
  <w:num w:numId="17">
    <w:abstractNumId w:val="22"/>
  </w:num>
  <w:num w:numId="18">
    <w:abstractNumId w:val="8"/>
  </w:num>
  <w:num w:numId="19">
    <w:abstractNumId w:val="20"/>
  </w:num>
  <w:num w:numId="20">
    <w:abstractNumId w:val="27"/>
  </w:num>
  <w:num w:numId="21">
    <w:abstractNumId w:val="17"/>
  </w:num>
  <w:num w:numId="22">
    <w:abstractNumId w:val="0"/>
  </w:num>
  <w:num w:numId="23">
    <w:abstractNumId w:val="25"/>
  </w:num>
  <w:num w:numId="24">
    <w:abstractNumId w:val="30"/>
  </w:num>
  <w:num w:numId="25">
    <w:abstractNumId w:val="29"/>
  </w:num>
  <w:num w:numId="26">
    <w:abstractNumId w:val="18"/>
  </w:num>
  <w:num w:numId="27">
    <w:abstractNumId w:val="13"/>
  </w:num>
  <w:num w:numId="28">
    <w:abstractNumId w:val="2"/>
  </w:num>
  <w:num w:numId="29">
    <w:abstractNumId w:val="14"/>
  </w:num>
  <w:num w:numId="30">
    <w:abstractNumId w:val="19"/>
  </w:num>
  <w:num w:numId="3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IyNjA1NzM0MDS1MzIyUdpeDU4uLM/DyQAsNaAD85XtIsAAAA"/>
  </w:docVars>
  <w:rsids>
    <w:rsidRoot w:val="00B77DA8"/>
    <w:rsid w:val="000032D9"/>
    <w:rsid w:val="00020451"/>
    <w:rsid w:val="000233C1"/>
    <w:rsid w:val="00026ECA"/>
    <w:rsid w:val="00032F8A"/>
    <w:rsid w:val="00033672"/>
    <w:rsid w:val="0003500F"/>
    <w:rsid w:val="00035646"/>
    <w:rsid w:val="00041889"/>
    <w:rsid w:val="000457ED"/>
    <w:rsid w:val="000459F8"/>
    <w:rsid w:val="0009716C"/>
    <w:rsid w:val="000C23E3"/>
    <w:rsid w:val="000C6C06"/>
    <w:rsid w:val="000D10BD"/>
    <w:rsid w:val="000E30CD"/>
    <w:rsid w:val="000F141A"/>
    <w:rsid w:val="000F55F4"/>
    <w:rsid w:val="000F5B8D"/>
    <w:rsid w:val="00102269"/>
    <w:rsid w:val="00102F23"/>
    <w:rsid w:val="00107D73"/>
    <w:rsid w:val="001166F4"/>
    <w:rsid w:val="001173D8"/>
    <w:rsid w:val="0011776E"/>
    <w:rsid w:val="001246E6"/>
    <w:rsid w:val="00125998"/>
    <w:rsid w:val="00127B3A"/>
    <w:rsid w:val="001303EE"/>
    <w:rsid w:val="00136AAC"/>
    <w:rsid w:val="001444E5"/>
    <w:rsid w:val="001559E7"/>
    <w:rsid w:val="00160EA9"/>
    <w:rsid w:val="00166DBE"/>
    <w:rsid w:val="001703DF"/>
    <w:rsid w:val="00173D21"/>
    <w:rsid w:val="001766EC"/>
    <w:rsid w:val="00194A93"/>
    <w:rsid w:val="00194F07"/>
    <w:rsid w:val="00195780"/>
    <w:rsid w:val="001A04B1"/>
    <w:rsid w:val="001A0A1F"/>
    <w:rsid w:val="001A1CB3"/>
    <w:rsid w:val="001A20F2"/>
    <w:rsid w:val="001A5F84"/>
    <w:rsid w:val="001B268C"/>
    <w:rsid w:val="001C32C8"/>
    <w:rsid w:val="001C4914"/>
    <w:rsid w:val="001C73AB"/>
    <w:rsid w:val="001D05A9"/>
    <w:rsid w:val="001D284B"/>
    <w:rsid w:val="001D2A4F"/>
    <w:rsid w:val="001D2E8F"/>
    <w:rsid w:val="001D4AF3"/>
    <w:rsid w:val="001E2B61"/>
    <w:rsid w:val="001E4081"/>
    <w:rsid w:val="001E59B4"/>
    <w:rsid w:val="001E686E"/>
    <w:rsid w:val="001F2257"/>
    <w:rsid w:val="001F48A1"/>
    <w:rsid w:val="001F70C2"/>
    <w:rsid w:val="0021059C"/>
    <w:rsid w:val="00212185"/>
    <w:rsid w:val="002141D3"/>
    <w:rsid w:val="002211AA"/>
    <w:rsid w:val="002237D3"/>
    <w:rsid w:val="0022663E"/>
    <w:rsid w:val="00236D2F"/>
    <w:rsid w:val="0024019D"/>
    <w:rsid w:val="00240525"/>
    <w:rsid w:val="002458CB"/>
    <w:rsid w:val="002516B9"/>
    <w:rsid w:val="00253692"/>
    <w:rsid w:val="002546EF"/>
    <w:rsid w:val="00263C9C"/>
    <w:rsid w:val="00267817"/>
    <w:rsid w:val="00270225"/>
    <w:rsid w:val="00270C66"/>
    <w:rsid w:val="00271332"/>
    <w:rsid w:val="00271BAB"/>
    <w:rsid w:val="00274555"/>
    <w:rsid w:val="00280840"/>
    <w:rsid w:val="00287C98"/>
    <w:rsid w:val="00290723"/>
    <w:rsid w:val="00293049"/>
    <w:rsid w:val="002A0B5F"/>
    <w:rsid w:val="002A4A3B"/>
    <w:rsid w:val="002A54FC"/>
    <w:rsid w:val="002A5828"/>
    <w:rsid w:val="002A7229"/>
    <w:rsid w:val="002B4350"/>
    <w:rsid w:val="002B57E0"/>
    <w:rsid w:val="002C1981"/>
    <w:rsid w:val="002C1BE1"/>
    <w:rsid w:val="002C2732"/>
    <w:rsid w:val="002C426A"/>
    <w:rsid w:val="002D768D"/>
    <w:rsid w:val="002E1FE5"/>
    <w:rsid w:val="002E3BDB"/>
    <w:rsid w:val="002E6B18"/>
    <w:rsid w:val="002E6B82"/>
    <w:rsid w:val="002E6FEC"/>
    <w:rsid w:val="002E7BE4"/>
    <w:rsid w:val="002F3ADC"/>
    <w:rsid w:val="002F4EC2"/>
    <w:rsid w:val="00304796"/>
    <w:rsid w:val="0030572E"/>
    <w:rsid w:val="00311FD2"/>
    <w:rsid w:val="00323A4B"/>
    <w:rsid w:val="0033604B"/>
    <w:rsid w:val="0033664F"/>
    <w:rsid w:val="003416B2"/>
    <w:rsid w:val="00343E1B"/>
    <w:rsid w:val="0035139B"/>
    <w:rsid w:val="003533D5"/>
    <w:rsid w:val="003539D1"/>
    <w:rsid w:val="00360A24"/>
    <w:rsid w:val="003640D3"/>
    <w:rsid w:val="003853F9"/>
    <w:rsid w:val="00386152"/>
    <w:rsid w:val="00390ECB"/>
    <w:rsid w:val="00393CB1"/>
    <w:rsid w:val="003957B0"/>
    <w:rsid w:val="003A239F"/>
    <w:rsid w:val="003A5185"/>
    <w:rsid w:val="003B05ED"/>
    <w:rsid w:val="003B5870"/>
    <w:rsid w:val="003B66FB"/>
    <w:rsid w:val="003B7EAA"/>
    <w:rsid w:val="003C215B"/>
    <w:rsid w:val="003D169E"/>
    <w:rsid w:val="003D1A85"/>
    <w:rsid w:val="003D5E78"/>
    <w:rsid w:val="003D60A4"/>
    <w:rsid w:val="003D6542"/>
    <w:rsid w:val="003E56E7"/>
    <w:rsid w:val="0040609C"/>
    <w:rsid w:val="00410D92"/>
    <w:rsid w:val="00414687"/>
    <w:rsid w:val="004272FB"/>
    <w:rsid w:val="00431DCE"/>
    <w:rsid w:val="004404E2"/>
    <w:rsid w:val="004431FB"/>
    <w:rsid w:val="00446713"/>
    <w:rsid w:val="00475896"/>
    <w:rsid w:val="00484787"/>
    <w:rsid w:val="004851FD"/>
    <w:rsid w:val="00491DE5"/>
    <w:rsid w:val="00493C38"/>
    <w:rsid w:val="004A0329"/>
    <w:rsid w:val="004A0F93"/>
    <w:rsid w:val="004A2A60"/>
    <w:rsid w:val="004B1DEF"/>
    <w:rsid w:val="004B49E5"/>
    <w:rsid w:val="004C0183"/>
    <w:rsid w:val="004C05E3"/>
    <w:rsid w:val="004C4CF5"/>
    <w:rsid w:val="004C5DFC"/>
    <w:rsid w:val="004D07FA"/>
    <w:rsid w:val="004D1CFE"/>
    <w:rsid w:val="004D20A4"/>
    <w:rsid w:val="004E41C3"/>
    <w:rsid w:val="004F1136"/>
    <w:rsid w:val="004F5810"/>
    <w:rsid w:val="004F768F"/>
    <w:rsid w:val="004F7B1D"/>
    <w:rsid w:val="00503E21"/>
    <w:rsid w:val="00507974"/>
    <w:rsid w:val="00513DC8"/>
    <w:rsid w:val="00515E2A"/>
    <w:rsid w:val="00517A2A"/>
    <w:rsid w:val="00525F42"/>
    <w:rsid w:val="00526E3C"/>
    <w:rsid w:val="005321BE"/>
    <w:rsid w:val="005322A2"/>
    <w:rsid w:val="005369BB"/>
    <w:rsid w:val="00537094"/>
    <w:rsid w:val="00537F61"/>
    <w:rsid w:val="00541F1A"/>
    <w:rsid w:val="005421BC"/>
    <w:rsid w:val="005477D3"/>
    <w:rsid w:val="005507C9"/>
    <w:rsid w:val="00550CE5"/>
    <w:rsid w:val="00553E1B"/>
    <w:rsid w:val="00554472"/>
    <w:rsid w:val="00561536"/>
    <w:rsid w:val="00561A02"/>
    <w:rsid w:val="00561DAD"/>
    <w:rsid w:val="005639EF"/>
    <w:rsid w:val="0056751F"/>
    <w:rsid w:val="00580AC0"/>
    <w:rsid w:val="0059119F"/>
    <w:rsid w:val="00597792"/>
    <w:rsid w:val="005A5E9B"/>
    <w:rsid w:val="005B1C78"/>
    <w:rsid w:val="005C356A"/>
    <w:rsid w:val="005C7147"/>
    <w:rsid w:val="005D39EF"/>
    <w:rsid w:val="005E1C4C"/>
    <w:rsid w:val="005E2B95"/>
    <w:rsid w:val="005E5EDF"/>
    <w:rsid w:val="005F5361"/>
    <w:rsid w:val="00600228"/>
    <w:rsid w:val="006179EC"/>
    <w:rsid w:val="00623273"/>
    <w:rsid w:val="00633A0D"/>
    <w:rsid w:val="00633AF6"/>
    <w:rsid w:val="006349E2"/>
    <w:rsid w:val="00637D57"/>
    <w:rsid w:val="00642762"/>
    <w:rsid w:val="00642EF9"/>
    <w:rsid w:val="0064313B"/>
    <w:rsid w:val="006461C9"/>
    <w:rsid w:val="006538ED"/>
    <w:rsid w:val="00664020"/>
    <w:rsid w:val="00664F68"/>
    <w:rsid w:val="006713A3"/>
    <w:rsid w:val="0067588A"/>
    <w:rsid w:val="00676351"/>
    <w:rsid w:val="006820CB"/>
    <w:rsid w:val="00687646"/>
    <w:rsid w:val="006901C9"/>
    <w:rsid w:val="00697D98"/>
    <w:rsid w:val="006A1487"/>
    <w:rsid w:val="006A1CDD"/>
    <w:rsid w:val="006A4384"/>
    <w:rsid w:val="006A7B18"/>
    <w:rsid w:val="006B1AB5"/>
    <w:rsid w:val="006B2A54"/>
    <w:rsid w:val="006B4E3E"/>
    <w:rsid w:val="006D0AFB"/>
    <w:rsid w:val="006D4579"/>
    <w:rsid w:val="006E4525"/>
    <w:rsid w:val="006F2B1A"/>
    <w:rsid w:val="006F3AB9"/>
    <w:rsid w:val="006F7E4A"/>
    <w:rsid w:val="0071106D"/>
    <w:rsid w:val="00713477"/>
    <w:rsid w:val="00716445"/>
    <w:rsid w:val="00722855"/>
    <w:rsid w:val="007317E8"/>
    <w:rsid w:val="007362B7"/>
    <w:rsid w:val="00736871"/>
    <w:rsid w:val="00741E62"/>
    <w:rsid w:val="00743616"/>
    <w:rsid w:val="00743EAD"/>
    <w:rsid w:val="00746043"/>
    <w:rsid w:val="00747271"/>
    <w:rsid w:val="0075514C"/>
    <w:rsid w:val="00757C92"/>
    <w:rsid w:val="007601CB"/>
    <w:rsid w:val="0076223B"/>
    <w:rsid w:val="007622A2"/>
    <w:rsid w:val="007702D6"/>
    <w:rsid w:val="00772F57"/>
    <w:rsid w:val="00774BDB"/>
    <w:rsid w:val="00780DE3"/>
    <w:rsid w:val="0078424D"/>
    <w:rsid w:val="007870AB"/>
    <w:rsid w:val="00792325"/>
    <w:rsid w:val="00794E6A"/>
    <w:rsid w:val="00794F94"/>
    <w:rsid w:val="00797D94"/>
    <w:rsid w:val="007A42BE"/>
    <w:rsid w:val="007A4909"/>
    <w:rsid w:val="007A607E"/>
    <w:rsid w:val="007B1335"/>
    <w:rsid w:val="007B142D"/>
    <w:rsid w:val="007C3CE7"/>
    <w:rsid w:val="007D1D0F"/>
    <w:rsid w:val="007E19EB"/>
    <w:rsid w:val="007E2322"/>
    <w:rsid w:val="007E7A7C"/>
    <w:rsid w:val="007F0150"/>
    <w:rsid w:val="007F2540"/>
    <w:rsid w:val="007F61D3"/>
    <w:rsid w:val="00803680"/>
    <w:rsid w:val="008108A9"/>
    <w:rsid w:val="00810CAE"/>
    <w:rsid w:val="00814631"/>
    <w:rsid w:val="00814A9C"/>
    <w:rsid w:val="008218F3"/>
    <w:rsid w:val="00821F1B"/>
    <w:rsid w:val="008249AB"/>
    <w:rsid w:val="00824D80"/>
    <w:rsid w:val="00830234"/>
    <w:rsid w:val="00836BFE"/>
    <w:rsid w:val="0084524A"/>
    <w:rsid w:val="00852B00"/>
    <w:rsid w:val="0085459E"/>
    <w:rsid w:val="00864E2C"/>
    <w:rsid w:val="008662CC"/>
    <w:rsid w:val="0087471C"/>
    <w:rsid w:val="00883919"/>
    <w:rsid w:val="008944BB"/>
    <w:rsid w:val="008B2A0E"/>
    <w:rsid w:val="008B4C09"/>
    <w:rsid w:val="008B5D38"/>
    <w:rsid w:val="008B7DBD"/>
    <w:rsid w:val="008D0DDE"/>
    <w:rsid w:val="008D2708"/>
    <w:rsid w:val="008D2A24"/>
    <w:rsid w:val="008E0BBC"/>
    <w:rsid w:val="008E30C7"/>
    <w:rsid w:val="008E34DB"/>
    <w:rsid w:val="008F3CB4"/>
    <w:rsid w:val="008F570D"/>
    <w:rsid w:val="008F7948"/>
    <w:rsid w:val="00900FF5"/>
    <w:rsid w:val="00901656"/>
    <w:rsid w:val="00903CAE"/>
    <w:rsid w:val="009131DF"/>
    <w:rsid w:val="009149DF"/>
    <w:rsid w:val="009178EE"/>
    <w:rsid w:val="00925075"/>
    <w:rsid w:val="00926FAA"/>
    <w:rsid w:val="00927F89"/>
    <w:rsid w:val="00937363"/>
    <w:rsid w:val="009407AF"/>
    <w:rsid w:val="009511EB"/>
    <w:rsid w:val="009539A2"/>
    <w:rsid w:val="00954191"/>
    <w:rsid w:val="00954A0C"/>
    <w:rsid w:val="00960508"/>
    <w:rsid w:val="00967092"/>
    <w:rsid w:val="00974895"/>
    <w:rsid w:val="0097748D"/>
    <w:rsid w:val="00981AC6"/>
    <w:rsid w:val="00997100"/>
    <w:rsid w:val="009A706B"/>
    <w:rsid w:val="009B202D"/>
    <w:rsid w:val="009B6F5F"/>
    <w:rsid w:val="009C5479"/>
    <w:rsid w:val="009C758C"/>
    <w:rsid w:val="009D6441"/>
    <w:rsid w:val="009E1EDD"/>
    <w:rsid w:val="009E40C1"/>
    <w:rsid w:val="009E5351"/>
    <w:rsid w:val="009F1147"/>
    <w:rsid w:val="009F384C"/>
    <w:rsid w:val="009F444B"/>
    <w:rsid w:val="00A03609"/>
    <w:rsid w:val="00A10DCC"/>
    <w:rsid w:val="00A23A34"/>
    <w:rsid w:val="00A341F1"/>
    <w:rsid w:val="00A351E2"/>
    <w:rsid w:val="00A50800"/>
    <w:rsid w:val="00A7096F"/>
    <w:rsid w:val="00A75D69"/>
    <w:rsid w:val="00A813D3"/>
    <w:rsid w:val="00A817D9"/>
    <w:rsid w:val="00A81EF2"/>
    <w:rsid w:val="00A83928"/>
    <w:rsid w:val="00A90C56"/>
    <w:rsid w:val="00A922E0"/>
    <w:rsid w:val="00A9300B"/>
    <w:rsid w:val="00A93C09"/>
    <w:rsid w:val="00AB2743"/>
    <w:rsid w:val="00AB4F8B"/>
    <w:rsid w:val="00AC35CF"/>
    <w:rsid w:val="00AC5EFB"/>
    <w:rsid w:val="00AD4269"/>
    <w:rsid w:val="00AE1EA1"/>
    <w:rsid w:val="00AE2514"/>
    <w:rsid w:val="00AE54B1"/>
    <w:rsid w:val="00AF03A6"/>
    <w:rsid w:val="00AF3711"/>
    <w:rsid w:val="00B02B1B"/>
    <w:rsid w:val="00B04058"/>
    <w:rsid w:val="00B05BDD"/>
    <w:rsid w:val="00B07065"/>
    <w:rsid w:val="00B11818"/>
    <w:rsid w:val="00B16E2E"/>
    <w:rsid w:val="00B21833"/>
    <w:rsid w:val="00B22949"/>
    <w:rsid w:val="00B2370A"/>
    <w:rsid w:val="00B35BA9"/>
    <w:rsid w:val="00B40142"/>
    <w:rsid w:val="00B46CF6"/>
    <w:rsid w:val="00B521A5"/>
    <w:rsid w:val="00B5624B"/>
    <w:rsid w:val="00B61609"/>
    <w:rsid w:val="00B66F60"/>
    <w:rsid w:val="00B6799D"/>
    <w:rsid w:val="00B72F96"/>
    <w:rsid w:val="00B77B96"/>
    <w:rsid w:val="00B77DA8"/>
    <w:rsid w:val="00B80C82"/>
    <w:rsid w:val="00B8131F"/>
    <w:rsid w:val="00B860E7"/>
    <w:rsid w:val="00B86E61"/>
    <w:rsid w:val="00B96003"/>
    <w:rsid w:val="00BA2373"/>
    <w:rsid w:val="00BA6006"/>
    <w:rsid w:val="00BB13B6"/>
    <w:rsid w:val="00BB487B"/>
    <w:rsid w:val="00BB5E6E"/>
    <w:rsid w:val="00BC157D"/>
    <w:rsid w:val="00BC3614"/>
    <w:rsid w:val="00BD2D36"/>
    <w:rsid w:val="00BE157F"/>
    <w:rsid w:val="00BE31D8"/>
    <w:rsid w:val="00BF1308"/>
    <w:rsid w:val="00BF5C0A"/>
    <w:rsid w:val="00C04DA9"/>
    <w:rsid w:val="00C139F9"/>
    <w:rsid w:val="00C15927"/>
    <w:rsid w:val="00C16504"/>
    <w:rsid w:val="00C210C1"/>
    <w:rsid w:val="00C227B5"/>
    <w:rsid w:val="00C23BCF"/>
    <w:rsid w:val="00C23CD2"/>
    <w:rsid w:val="00C500E9"/>
    <w:rsid w:val="00C5607E"/>
    <w:rsid w:val="00C652A8"/>
    <w:rsid w:val="00C65578"/>
    <w:rsid w:val="00C83CE9"/>
    <w:rsid w:val="00C91E15"/>
    <w:rsid w:val="00C92C16"/>
    <w:rsid w:val="00C95776"/>
    <w:rsid w:val="00C97778"/>
    <w:rsid w:val="00CA0BB3"/>
    <w:rsid w:val="00CA32DA"/>
    <w:rsid w:val="00CA3FF1"/>
    <w:rsid w:val="00CA7179"/>
    <w:rsid w:val="00CB508A"/>
    <w:rsid w:val="00CC3BC9"/>
    <w:rsid w:val="00CC5D00"/>
    <w:rsid w:val="00CD55D2"/>
    <w:rsid w:val="00CE483C"/>
    <w:rsid w:val="00CE4BCE"/>
    <w:rsid w:val="00CE7486"/>
    <w:rsid w:val="00CF1419"/>
    <w:rsid w:val="00CF2C26"/>
    <w:rsid w:val="00D01B49"/>
    <w:rsid w:val="00D074BB"/>
    <w:rsid w:val="00D14845"/>
    <w:rsid w:val="00D219C1"/>
    <w:rsid w:val="00D22777"/>
    <w:rsid w:val="00D2344A"/>
    <w:rsid w:val="00D2483C"/>
    <w:rsid w:val="00D53F21"/>
    <w:rsid w:val="00D55348"/>
    <w:rsid w:val="00D56D07"/>
    <w:rsid w:val="00D644B9"/>
    <w:rsid w:val="00D65D58"/>
    <w:rsid w:val="00D6614F"/>
    <w:rsid w:val="00D662FF"/>
    <w:rsid w:val="00D70130"/>
    <w:rsid w:val="00D71A36"/>
    <w:rsid w:val="00D76DE2"/>
    <w:rsid w:val="00D80DDA"/>
    <w:rsid w:val="00D86602"/>
    <w:rsid w:val="00D915F2"/>
    <w:rsid w:val="00D92FEE"/>
    <w:rsid w:val="00D94FDE"/>
    <w:rsid w:val="00DA481D"/>
    <w:rsid w:val="00DB1C60"/>
    <w:rsid w:val="00DB6C83"/>
    <w:rsid w:val="00DC046C"/>
    <w:rsid w:val="00DC7E42"/>
    <w:rsid w:val="00DD1E3D"/>
    <w:rsid w:val="00DD328C"/>
    <w:rsid w:val="00DE181D"/>
    <w:rsid w:val="00DE305A"/>
    <w:rsid w:val="00DF0066"/>
    <w:rsid w:val="00E037A9"/>
    <w:rsid w:val="00E049C3"/>
    <w:rsid w:val="00E10BE7"/>
    <w:rsid w:val="00E15298"/>
    <w:rsid w:val="00E17739"/>
    <w:rsid w:val="00E25520"/>
    <w:rsid w:val="00E2647F"/>
    <w:rsid w:val="00E31E9A"/>
    <w:rsid w:val="00E471EF"/>
    <w:rsid w:val="00E47846"/>
    <w:rsid w:val="00E67701"/>
    <w:rsid w:val="00E67C0A"/>
    <w:rsid w:val="00E77222"/>
    <w:rsid w:val="00E8223C"/>
    <w:rsid w:val="00E953CD"/>
    <w:rsid w:val="00EA1866"/>
    <w:rsid w:val="00EB3CA9"/>
    <w:rsid w:val="00EB40D8"/>
    <w:rsid w:val="00EB4D70"/>
    <w:rsid w:val="00EC2ADD"/>
    <w:rsid w:val="00EC3729"/>
    <w:rsid w:val="00EC3924"/>
    <w:rsid w:val="00ED1B18"/>
    <w:rsid w:val="00ED454B"/>
    <w:rsid w:val="00ED6968"/>
    <w:rsid w:val="00EE4D2B"/>
    <w:rsid w:val="00EF0B75"/>
    <w:rsid w:val="00EF3598"/>
    <w:rsid w:val="00F04B6A"/>
    <w:rsid w:val="00F1686F"/>
    <w:rsid w:val="00F17746"/>
    <w:rsid w:val="00F20CB3"/>
    <w:rsid w:val="00F26097"/>
    <w:rsid w:val="00F34414"/>
    <w:rsid w:val="00F4516C"/>
    <w:rsid w:val="00F50520"/>
    <w:rsid w:val="00F50753"/>
    <w:rsid w:val="00F5377B"/>
    <w:rsid w:val="00F66E18"/>
    <w:rsid w:val="00F72AB7"/>
    <w:rsid w:val="00F7319F"/>
    <w:rsid w:val="00F7590F"/>
    <w:rsid w:val="00F760D8"/>
    <w:rsid w:val="00F87673"/>
    <w:rsid w:val="00F9335E"/>
    <w:rsid w:val="00F94159"/>
    <w:rsid w:val="00F94F4C"/>
    <w:rsid w:val="00FA1BF4"/>
    <w:rsid w:val="00FA757C"/>
    <w:rsid w:val="00FC0138"/>
    <w:rsid w:val="00FC1D23"/>
    <w:rsid w:val="00FC35E5"/>
    <w:rsid w:val="00FC6D7D"/>
    <w:rsid w:val="00FE1456"/>
    <w:rsid w:val="00FF217F"/>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9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A8"/>
  </w:style>
  <w:style w:type="paragraph" w:styleId="Heading3">
    <w:name w:val="heading 3"/>
    <w:basedOn w:val="Normal"/>
    <w:link w:val="Heading3Char"/>
    <w:uiPriority w:val="9"/>
    <w:qFormat/>
    <w:rsid w:val="006A1C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1A"/>
  </w:style>
  <w:style w:type="paragraph" w:styleId="Footer">
    <w:name w:val="footer"/>
    <w:basedOn w:val="Normal"/>
    <w:link w:val="FooterChar"/>
    <w:uiPriority w:val="99"/>
    <w:unhideWhenUsed/>
    <w:rsid w:val="006F2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1A"/>
  </w:style>
  <w:style w:type="paragraph" w:styleId="BalloonText">
    <w:name w:val="Balloon Text"/>
    <w:basedOn w:val="Normal"/>
    <w:link w:val="BalloonTextChar"/>
    <w:uiPriority w:val="99"/>
    <w:semiHidden/>
    <w:unhideWhenUsed/>
    <w:rsid w:val="0074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43"/>
    <w:rPr>
      <w:rFonts w:ascii="Tahoma" w:hAnsi="Tahoma" w:cs="Tahoma"/>
      <w:sz w:val="16"/>
      <w:szCs w:val="16"/>
    </w:rPr>
  </w:style>
  <w:style w:type="paragraph" w:styleId="ListParagraph">
    <w:name w:val="List Paragraph"/>
    <w:basedOn w:val="Normal"/>
    <w:uiPriority w:val="34"/>
    <w:qFormat/>
    <w:rsid w:val="001A1CB3"/>
    <w:pPr>
      <w:ind w:left="720"/>
      <w:contextualSpacing/>
    </w:pPr>
  </w:style>
  <w:style w:type="paragraph" w:styleId="EndnoteText">
    <w:name w:val="endnote text"/>
    <w:basedOn w:val="Normal"/>
    <w:link w:val="EndnoteTextChar"/>
    <w:uiPriority w:val="99"/>
    <w:semiHidden/>
    <w:unhideWhenUsed/>
    <w:rsid w:val="004F11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1136"/>
    <w:rPr>
      <w:sz w:val="20"/>
      <w:szCs w:val="20"/>
    </w:rPr>
  </w:style>
  <w:style w:type="character" w:styleId="EndnoteReference">
    <w:name w:val="endnote reference"/>
    <w:basedOn w:val="DefaultParagraphFont"/>
    <w:uiPriority w:val="99"/>
    <w:semiHidden/>
    <w:unhideWhenUsed/>
    <w:rsid w:val="004F1136"/>
    <w:rPr>
      <w:vertAlign w:val="superscript"/>
    </w:rPr>
  </w:style>
  <w:style w:type="character" w:styleId="CommentReference">
    <w:name w:val="annotation reference"/>
    <w:basedOn w:val="DefaultParagraphFont"/>
    <w:uiPriority w:val="99"/>
    <w:semiHidden/>
    <w:unhideWhenUsed/>
    <w:rsid w:val="001166F4"/>
    <w:rPr>
      <w:sz w:val="16"/>
      <w:szCs w:val="16"/>
    </w:rPr>
  </w:style>
  <w:style w:type="paragraph" w:styleId="CommentText">
    <w:name w:val="annotation text"/>
    <w:basedOn w:val="Normal"/>
    <w:link w:val="CommentTextChar"/>
    <w:uiPriority w:val="99"/>
    <w:unhideWhenUsed/>
    <w:rsid w:val="001166F4"/>
    <w:pPr>
      <w:spacing w:line="240" w:lineRule="auto"/>
    </w:pPr>
    <w:rPr>
      <w:sz w:val="20"/>
      <w:szCs w:val="20"/>
    </w:rPr>
  </w:style>
  <w:style w:type="character" w:customStyle="1" w:styleId="CommentTextChar">
    <w:name w:val="Comment Text Char"/>
    <w:basedOn w:val="DefaultParagraphFont"/>
    <w:link w:val="CommentText"/>
    <w:uiPriority w:val="99"/>
    <w:rsid w:val="001166F4"/>
    <w:rPr>
      <w:sz w:val="20"/>
      <w:szCs w:val="20"/>
    </w:rPr>
  </w:style>
  <w:style w:type="paragraph" w:styleId="CommentSubject">
    <w:name w:val="annotation subject"/>
    <w:basedOn w:val="CommentText"/>
    <w:next w:val="CommentText"/>
    <w:link w:val="CommentSubjectChar"/>
    <w:uiPriority w:val="99"/>
    <w:semiHidden/>
    <w:unhideWhenUsed/>
    <w:rsid w:val="001166F4"/>
    <w:rPr>
      <w:b/>
      <w:bCs/>
    </w:rPr>
  </w:style>
  <w:style w:type="character" w:customStyle="1" w:styleId="CommentSubjectChar">
    <w:name w:val="Comment Subject Char"/>
    <w:basedOn w:val="CommentTextChar"/>
    <w:link w:val="CommentSubject"/>
    <w:uiPriority w:val="99"/>
    <w:semiHidden/>
    <w:rsid w:val="001166F4"/>
    <w:rPr>
      <w:b/>
      <w:bCs/>
      <w:sz w:val="20"/>
      <w:szCs w:val="20"/>
    </w:rPr>
  </w:style>
  <w:style w:type="character" w:styleId="Hyperlink">
    <w:name w:val="Hyperlink"/>
    <w:basedOn w:val="DefaultParagraphFont"/>
    <w:uiPriority w:val="99"/>
    <w:unhideWhenUsed/>
    <w:rsid w:val="0011776E"/>
    <w:rPr>
      <w:color w:val="0000FF" w:themeColor="hyperlink"/>
      <w:u w:val="single"/>
    </w:rPr>
  </w:style>
  <w:style w:type="paragraph" w:customStyle="1" w:styleId="bodytext">
    <w:name w:val="bodytext"/>
    <w:basedOn w:val="Normal"/>
    <w:rsid w:val="00D22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19F"/>
  </w:style>
  <w:style w:type="paragraph" w:styleId="NormalWeb">
    <w:name w:val="Normal (Web)"/>
    <w:basedOn w:val="Normal"/>
    <w:uiPriority w:val="99"/>
    <w:unhideWhenUsed/>
    <w:rsid w:val="004A0F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A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w:basedOn w:val="Normal"/>
    <w:link w:val="FootnoteTextChar"/>
    <w:uiPriority w:val="99"/>
    <w:unhideWhenUsed/>
    <w:rsid w:val="00D2344A"/>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D2344A"/>
    <w:rPr>
      <w:sz w:val="20"/>
      <w:szCs w:val="20"/>
    </w:rPr>
  </w:style>
  <w:style w:type="character" w:styleId="FootnoteReference">
    <w:name w:val="footnote reference"/>
    <w:basedOn w:val="DefaultParagraphFont"/>
    <w:uiPriority w:val="99"/>
    <w:unhideWhenUsed/>
    <w:rsid w:val="00D2344A"/>
    <w:rPr>
      <w:vertAlign w:val="superscript"/>
    </w:rPr>
  </w:style>
  <w:style w:type="character" w:styleId="FollowedHyperlink">
    <w:name w:val="FollowedHyperlink"/>
    <w:basedOn w:val="DefaultParagraphFont"/>
    <w:uiPriority w:val="99"/>
    <w:semiHidden/>
    <w:unhideWhenUsed/>
    <w:rsid w:val="007A42BE"/>
    <w:rPr>
      <w:color w:val="800080" w:themeColor="followedHyperlink"/>
      <w:u w:val="single"/>
    </w:rPr>
  </w:style>
  <w:style w:type="paragraph" w:customStyle="1" w:styleId="Default">
    <w:name w:val="Default"/>
    <w:rsid w:val="002F3ADC"/>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6A1CDD"/>
    <w:rPr>
      <w:rFonts w:ascii="Times New Roman" w:eastAsia="Times New Roman" w:hAnsi="Times New Roman" w:cs="Times New Roman"/>
      <w:b/>
      <w:bCs/>
      <w:sz w:val="27"/>
      <w:szCs w:val="27"/>
    </w:rPr>
  </w:style>
  <w:style w:type="character" w:styleId="Emphasis">
    <w:name w:val="Emphasis"/>
    <w:basedOn w:val="DefaultParagraphFont"/>
    <w:uiPriority w:val="20"/>
    <w:qFormat/>
    <w:rsid w:val="007362B7"/>
    <w:rPr>
      <w:i/>
      <w:iCs/>
    </w:rPr>
  </w:style>
  <w:style w:type="paragraph" w:customStyle="1" w:styleId="AutoCorrect">
    <w:name w:val="AutoCorrect"/>
    <w:rsid w:val="00B61609"/>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A8"/>
  </w:style>
  <w:style w:type="paragraph" w:styleId="Heading3">
    <w:name w:val="heading 3"/>
    <w:basedOn w:val="Normal"/>
    <w:link w:val="Heading3Char"/>
    <w:uiPriority w:val="9"/>
    <w:qFormat/>
    <w:rsid w:val="006A1C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1A"/>
  </w:style>
  <w:style w:type="paragraph" w:styleId="Footer">
    <w:name w:val="footer"/>
    <w:basedOn w:val="Normal"/>
    <w:link w:val="FooterChar"/>
    <w:uiPriority w:val="99"/>
    <w:unhideWhenUsed/>
    <w:rsid w:val="006F2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1A"/>
  </w:style>
  <w:style w:type="paragraph" w:styleId="BalloonText">
    <w:name w:val="Balloon Text"/>
    <w:basedOn w:val="Normal"/>
    <w:link w:val="BalloonTextChar"/>
    <w:uiPriority w:val="99"/>
    <w:semiHidden/>
    <w:unhideWhenUsed/>
    <w:rsid w:val="0074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043"/>
    <w:rPr>
      <w:rFonts w:ascii="Tahoma" w:hAnsi="Tahoma" w:cs="Tahoma"/>
      <w:sz w:val="16"/>
      <w:szCs w:val="16"/>
    </w:rPr>
  </w:style>
  <w:style w:type="paragraph" w:styleId="ListParagraph">
    <w:name w:val="List Paragraph"/>
    <w:basedOn w:val="Normal"/>
    <w:uiPriority w:val="34"/>
    <w:qFormat/>
    <w:rsid w:val="001A1CB3"/>
    <w:pPr>
      <w:ind w:left="720"/>
      <w:contextualSpacing/>
    </w:pPr>
  </w:style>
  <w:style w:type="paragraph" w:styleId="EndnoteText">
    <w:name w:val="endnote text"/>
    <w:basedOn w:val="Normal"/>
    <w:link w:val="EndnoteTextChar"/>
    <w:uiPriority w:val="99"/>
    <w:semiHidden/>
    <w:unhideWhenUsed/>
    <w:rsid w:val="004F11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1136"/>
    <w:rPr>
      <w:sz w:val="20"/>
      <w:szCs w:val="20"/>
    </w:rPr>
  </w:style>
  <w:style w:type="character" w:styleId="EndnoteReference">
    <w:name w:val="endnote reference"/>
    <w:basedOn w:val="DefaultParagraphFont"/>
    <w:uiPriority w:val="99"/>
    <w:semiHidden/>
    <w:unhideWhenUsed/>
    <w:rsid w:val="004F1136"/>
    <w:rPr>
      <w:vertAlign w:val="superscript"/>
    </w:rPr>
  </w:style>
  <w:style w:type="character" w:styleId="CommentReference">
    <w:name w:val="annotation reference"/>
    <w:basedOn w:val="DefaultParagraphFont"/>
    <w:uiPriority w:val="99"/>
    <w:semiHidden/>
    <w:unhideWhenUsed/>
    <w:rsid w:val="001166F4"/>
    <w:rPr>
      <w:sz w:val="16"/>
      <w:szCs w:val="16"/>
    </w:rPr>
  </w:style>
  <w:style w:type="paragraph" w:styleId="CommentText">
    <w:name w:val="annotation text"/>
    <w:basedOn w:val="Normal"/>
    <w:link w:val="CommentTextChar"/>
    <w:uiPriority w:val="99"/>
    <w:unhideWhenUsed/>
    <w:rsid w:val="001166F4"/>
    <w:pPr>
      <w:spacing w:line="240" w:lineRule="auto"/>
    </w:pPr>
    <w:rPr>
      <w:sz w:val="20"/>
      <w:szCs w:val="20"/>
    </w:rPr>
  </w:style>
  <w:style w:type="character" w:customStyle="1" w:styleId="CommentTextChar">
    <w:name w:val="Comment Text Char"/>
    <w:basedOn w:val="DefaultParagraphFont"/>
    <w:link w:val="CommentText"/>
    <w:uiPriority w:val="99"/>
    <w:rsid w:val="001166F4"/>
    <w:rPr>
      <w:sz w:val="20"/>
      <w:szCs w:val="20"/>
    </w:rPr>
  </w:style>
  <w:style w:type="paragraph" w:styleId="CommentSubject">
    <w:name w:val="annotation subject"/>
    <w:basedOn w:val="CommentText"/>
    <w:next w:val="CommentText"/>
    <w:link w:val="CommentSubjectChar"/>
    <w:uiPriority w:val="99"/>
    <w:semiHidden/>
    <w:unhideWhenUsed/>
    <w:rsid w:val="001166F4"/>
    <w:rPr>
      <w:b/>
      <w:bCs/>
    </w:rPr>
  </w:style>
  <w:style w:type="character" w:customStyle="1" w:styleId="CommentSubjectChar">
    <w:name w:val="Comment Subject Char"/>
    <w:basedOn w:val="CommentTextChar"/>
    <w:link w:val="CommentSubject"/>
    <w:uiPriority w:val="99"/>
    <w:semiHidden/>
    <w:rsid w:val="001166F4"/>
    <w:rPr>
      <w:b/>
      <w:bCs/>
      <w:sz w:val="20"/>
      <w:szCs w:val="20"/>
    </w:rPr>
  </w:style>
  <w:style w:type="character" w:styleId="Hyperlink">
    <w:name w:val="Hyperlink"/>
    <w:basedOn w:val="DefaultParagraphFont"/>
    <w:uiPriority w:val="99"/>
    <w:unhideWhenUsed/>
    <w:rsid w:val="0011776E"/>
    <w:rPr>
      <w:color w:val="0000FF" w:themeColor="hyperlink"/>
      <w:u w:val="single"/>
    </w:rPr>
  </w:style>
  <w:style w:type="paragraph" w:customStyle="1" w:styleId="bodytext">
    <w:name w:val="bodytext"/>
    <w:basedOn w:val="Normal"/>
    <w:rsid w:val="00D22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19F"/>
  </w:style>
  <w:style w:type="paragraph" w:styleId="NormalWeb">
    <w:name w:val="Normal (Web)"/>
    <w:basedOn w:val="Normal"/>
    <w:uiPriority w:val="99"/>
    <w:unhideWhenUsed/>
    <w:rsid w:val="004A0F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A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w:basedOn w:val="Normal"/>
    <w:link w:val="FootnoteTextChar"/>
    <w:uiPriority w:val="99"/>
    <w:unhideWhenUsed/>
    <w:rsid w:val="00D2344A"/>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rsid w:val="00D2344A"/>
    <w:rPr>
      <w:sz w:val="20"/>
      <w:szCs w:val="20"/>
    </w:rPr>
  </w:style>
  <w:style w:type="character" w:styleId="FootnoteReference">
    <w:name w:val="footnote reference"/>
    <w:basedOn w:val="DefaultParagraphFont"/>
    <w:uiPriority w:val="99"/>
    <w:unhideWhenUsed/>
    <w:rsid w:val="00D2344A"/>
    <w:rPr>
      <w:vertAlign w:val="superscript"/>
    </w:rPr>
  </w:style>
  <w:style w:type="character" w:styleId="FollowedHyperlink">
    <w:name w:val="FollowedHyperlink"/>
    <w:basedOn w:val="DefaultParagraphFont"/>
    <w:uiPriority w:val="99"/>
    <w:semiHidden/>
    <w:unhideWhenUsed/>
    <w:rsid w:val="007A42BE"/>
    <w:rPr>
      <w:color w:val="800080" w:themeColor="followedHyperlink"/>
      <w:u w:val="single"/>
    </w:rPr>
  </w:style>
  <w:style w:type="paragraph" w:customStyle="1" w:styleId="Default">
    <w:name w:val="Default"/>
    <w:rsid w:val="002F3ADC"/>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6A1CDD"/>
    <w:rPr>
      <w:rFonts w:ascii="Times New Roman" w:eastAsia="Times New Roman" w:hAnsi="Times New Roman" w:cs="Times New Roman"/>
      <w:b/>
      <w:bCs/>
      <w:sz w:val="27"/>
      <w:szCs w:val="27"/>
    </w:rPr>
  </w:style>
  <w:style w:type="character" w:styleId="Emphasis">
    <w:name w:val="Emphasis"/>
    <w:basedOn w:val="DefaultParagraphFont"/>
    <w:uiPriority w:val="20"/>
    <w:qFormat/>
    <w:rsid w:val="007362B7"/>
    <w:rPr>
      <w:i/>
      <w:iCs/>
    </w:rPr>
  </w:style>
  <w:style w:type="paragraph" w:customStyle="1" w:styleId="AutoCorrect">
    <w:name w:val="AutoCorrect"/>
    <w:rsid w:val="00B6160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08">
      <w:bodyDiv w:val="1"/>
      <w:marLeft w:val="0"/>
      <w:marRight w:val="0"/>
      <w:marTop w:val="0"/>
      <w:marBottom w:val="0"/>
      <w:divBdr>
        <w:top w:val="none" w:sz="0" w:space="0" w:color="auto"/>
        <w:left w:val="none" w:sz="0" w:space="0" w:color="auto"/>
        <w:bottom w:val="none" w:sz="0" w:space="0" w:color="auto"/>
        <w:right w:val="none" w:sz="0" w:space="0" w:color="auto"/>
      </w:divBdr>
      <w:divsChild>
        <w:div w:id="221215338">
          <w:marLeft w:val="0"/>
          <w:marRight w:val="0"/>
          <w:marTop w:val="0"/>
          <w:marBottom w:val="0"/>
          <w:divBdr>
            <w:top w:val="none" w:sz="0" w:space="0" w:color="auto"/>
            <w:left w:val="none" w:sz="0" w:space="0" w:color="auto"/>
            <w:bottom w:val="none" w:sz="0" w:space="0" w:color="auto"/>
            <w:right w:val="none" w:sz="0" w:space="0" w:color="auto"/>
          </w:divBdr>
        </w:div>
      </w:divsChild>
    </w:div>
    <w:div w:id="38484167">
      <w:bodyDiv w:val="1"/>
      <w:marLeft w:val="0"/>
      <w:marRight w:val="0"/>
      <w:marTop w:val="0"/>
      <w:marBottom w:val="0"/>
      <w:divBdr>
        <w:top w:val="none" w:sz="0" w:space="0" w:color="auto"/>
        <w:left w:val="none" w:sz="0" w:space="0" w:color="auto"/>
        <w:bottom w:val="none" w:sz="0" w:space="0" w:color="auto"/>
        <w:right w:val="none" w:sz="0" w:space="0" w:color="auto"/>
      </w:divBdr>
    </w:div>
    <w:div w:id="224099970">
      <w:bodyDiv w:val="1"/>
      <w:marLeft w:val="0"/>
      <w:marRight w:val="0"/>
      <w:marTop w:val="0"/>
      <w:marBottom w:val="0"/>
      <w:divBdr>
        <w:top w:val="none" w:sz="0" w:space="0" w:color="auto"/>
        <w:left w:val="none" w:sz="0" w:space="0" w:color="auto"/>
        <w:bottom w:val="none" w:sz="0" w:space="0" w:color="auto"/>
        <w:right w:val="none" w:sz="0" w:space="0" w:color="auto"/>
      </w:divBdr>
      <w:divsChild>
        <w:div w:id="1206722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874402">
      <w:bodyDiv w:val="1"/>
      <w:marLeft w:val="0"/>
      <w:marRight w:val="0"/>
      <w:marTop w:val="0"/>
      <w:marBottom w:val="0"/>
      <w:divBdr>
        <w:top w:val="none" w:sz="0" w:space="0" w:color="auto"/>
        <w:left w:val="none" w:sz="0" w:space="0" w:color="auto"/>
        <w:bottom w:val="none" w:sz="0" w:space="0" w:color="auto"/>
        <w:right w:val="none" w:sz="0" w:space="0" w:color="auto"/>
      </w:divBdr>
      <w:divsChild>
        <w:div w:id="990326426">
          <w:marLeft w:val="0"/>
          <w:marRight w:val="0"/>
          <w:marTop w:val="0"/>
          <w:marBottom w:val="0"/>
          <w:divBdr>
            <w:top w:val="none" w:sz="0" w:space="0" w:color="auto"/>
            <w:left w:val="none" w:sz="0" w:space="0" w:color="auto"/>
            <w:bottom w:val="none" w:sz="0" w:space="0" w:color="auto"/>
            <w:right w:val="none" w:sz="0" w:space="0" w:color="auto"/>
          </w:divBdr>
        </w:div>
      </w:divsChild>
    </w:div>
    <w:div w:id="446315859">
      <w:bodyDiv w:val="1"/>
      <w:marLeft w:val="0"/>
      <w:marRight w:val="0"/>
      <w:marTop w:val="0"/>
      <w:marBottom w:val="0"/>
      <w:divBdr>
        <w:top w:val="none" w:sz="0" w:space="0" w:color="auto"/>
        <w:left w:val="none" w:sz="0" w:space="0" w:color="auto"/>
        <w:bottom w:val="none" w:sz="0" w:space="0" w:color="auto"/>
        <w:right w:val="none" w:sz="0" w:space="0" w:color="auto"/>
      </w:divBdr>
    </w:div>
    <w:div w:id="512232932">
      <w:bodyDiv w:val="1"/>
      <w:marLeft w:val="0"/>
      <w:marRight w:val="0"/>
      <w:marTop w:val="0"/>
      <w:marBottom w:val="0"/>
      <w:divBdr>
        <w:top w:val="none" w:sz="0" w:space="0" w:color="auto"/>
        <w:left w:val="none" w:sz="0" w:space="0" w:color="auto"/>
        <w:bottom w:val="none" w:sz="0" w:space="0" w:color="auto"/>
        <w:right w:val="none" w:sz="0" w:space="0" w:color="auto"/>
      </w:divBdr>
    </w:div>
    <w:div w:id="624232900">
      <w:bodyDiv w:val="1"/>
      <w:marLeft w:val="0"/>
      <w:marRight w:val="0"/>
      <w:marTop w:val="0"/>
      <w:marBottom w:val="0"/>
      <w:divBdr>
        <w:top w:val="none" w:sz="0" w:space="0" w:color="auto"/>
        <w:left w:val="none" w:sz="0" w:space="0" w:color="auto"/>
        <w:bottom w:val="none" w:sz="0" w:space="0" w:color="auto"/>
        <w:right w:val="none" w:sz="0" w:space="0" w:color="auto"/>
      </w:divBdr>
    </w:div>
    <w:div w:id="692145432">
      <w:bodyDiv w:val="1"/>
      <w:marLeft w:val="0"/>
      <w:marRight w:val="0"/>
      <w:marTop w:val="0"/>
      <w:marBottom w:val="0"/>
      <w:divBdr>
        <w:top w:val="none" w:sz="0" w:space="0" w:color="auto"/>
        <w:left w:val="none" w:sz="0" w:space="0" w:color="auto"/>
        <w:bottom w:val="none" w:sz="0" w:space="0" w:color="auto"/>
        <w:right w:val="none" w:sz="0" w:space="0" w:color="auto"/>
      </w:divBdr>
    </w:div>
    <w:div w:id="733435383">
      <w:bodyDiv w:val="1"/>
      <w:marLeft w:val="0"/>
      <w:marRight w:val="0"/>
      <w:marTop w:val="0"/>
      <w:marBottom w:val="0"/>
      <w:divBdr>
        <w:top w:val="none" w:sz="0" w:space="0" w:color="auto"/>
        <w:left w:val="none" w:sz="0" w:space="0" w:color="auto"/>
        <w:bottom w:val="none" w:sz="0" w:space="0" w:color="auto"/>
        <w:right w:val="none" w:sz="0" w:space="0" w:color="auto"/>
      </w:divBdr>
    </w:div>
    <w:div w:id="754520205">
      <w:bodyDiv w:val="1"/>
      <w:marLeft w:val="0"/>
      <w:marRight w:val="0"/>
      <w:marTop w:val="0"/>
      <w:marBottom w:val="0"/>
      <w:divBdr>
        <w:top w:val="none" w:sz="0" w:space="0" w:color="auto"/>
        <w:left w:val="none" w:sz="0" w:space="0" w:color="auto"/>
        <w:bottom w:val="none" w:sz="0" w:space="0" w:color="auto"/>
        <w:right w:val="none" w:sz="0" w:space="0" w:color="auto"/>
      </w:divBdr>
    </w:div>
    <w:div w:id="800540682">
      <w:bodyDiv w:val="1"/>
      <w:marLeft w:val="0"/>
      <w:marRight w:val="0"/>
      <w:marTop w:val="0"/>
      <w:marBottom w:val="0"/>
      <w:divBdr>
        <w:top w:val="none" w:sz="0" w:space="0" w:color="auto"/>
        <w:left w:val="none" w:sz="0" w:space="0" w:color="auto"/>
        <w:bottom w:val="none" w:sz="0" w:space="0" w:color="auto"/>
        <w:right w:val="none" w:sz="0" w:space="0" w:color="auto"/>
      </w:divBdr>
    </w:div>
    <w:div w:id="840463775">
      <w:bodyDiv w:val="1"/>
      <w:marLeft w:val="0"/>
      <w:marRight w:val="0"/>
      <w:marTop w:val="0"/>
      <w:marBottom w:val="0"/>
      <w:divBdr>
        <w:top w:val="none" w:sz="0" w:space="0" w:color="auto"/>
        <w:left w:val="none" w:sz="0" w:space="0" w:color="auto"/>
        <w:bottom w:val="none" w:sz="0" w:space="0" w:color="auto"/>
        <w:right w:val="none" w:sz="0" w:space="0" w:color="auto"/>
      </w:divBdr>
    </w:div>
    <w:div w:id="1056126089">
      <w:bodyDiv w:val="1"/>
      <w:marLeft w:val="0"/>
      <w:marRight w:val="0"/>
      <w:marTop w:val="0"/>
      <w:marBottom w:val="0"/>
      <w:divBdr>
        <w:top w:val="none" w:sz="0" w:space="0" w:color="auto"/>
        <w:left w:val="none" w:sz="0" w:space="0" w:color="auto"/>
        <w:bottom w:val="none" w:sz="0" w:space="0" w:color="auto"/>
        <w:right w:val="none" w:sz="0" w:space="0" w:color="auto"/>
      </w:divBdr>
      <w:divsChild>
        <w:div w:id="588929244">
          <w:marLeft w:val="547"/>
          <w:marRight w:val="0"/>
          <w:marTop w:val="120"/>
          <w:marBottom w:val="120"/>
          <w:divBdr>
            <w:top w:val="none" w:sz="0" w:space="0" w:color="auto"/>
            <w:left w:val="none" w:sz="0" w:space="0" w:color="auto"/>
            <w:bottom w:val="none" w:sz="0" w:space="0" w:color="auto"/>
            <w:right w:val="none" w:sz="0" w:space="0" w:color="auto"/>
          </w:divBdr>
        </w:div>
        <w:div w:id="506333282">
          <w:marLeft w:val="1166"/>
          <w:marRight w:val="0"/>
          <w:marTop w:val="120"/>
          <w:marBottom w:val="120"/>
          <w:divBdr>
            <w:top w:val="none" w:sz="0" w:space="0" w:color="auto"/>
            <w:left w:val="none" w:sz="0" w:space="0" w:color="auto"/>
            <w:bottom w:val="none" w:sz="0" w:space="0" w:color="auto"/>
            <w:right w:val="none" w:sz="0" w:space="0" w:color="auto"/>
          </w:divBdr>
        </w:div>
        <w:div w:id="696081150">
          <w:marLeft w:val="1800"/>
          <w:marRight w:val="0"/>
          <w:marTop w:val="120"/>
          <w:marBottom w:val="120"/>
          <w:divBdr>
            <w:top w:val="none" w:sz="0" w:space="0" w:color="auto"/>
            <w:left w:val="none" w:sz="0" w:space="0" w:color="auto"/>
            <w:bottom w:val="none" w:sz="0" w:space="0" w:color="auto"/>
            <w:right w:val="none" w:sz="0" w:space="0" w:color="auto"/>
          </w:divBdr>
        </w:div>
        <w:div w:id="80953938">
          <w:marLeft w:val="1166"/>
          <w:marRight w:val="0"/>
          <w:marTop w:val="120"/>
          <w:marBottom w:val="120"/>
          <w:divBdr>
            <w:top w:val="none" w:sz="0" w:space="0" w:color="auto"/>
            <w:left w:val="none" w:sz="0" w:space="0" w:color="auto"/>
            <w:bottom w:val="none" w:sz="0" w:space="0" w:color="auto"/>
            <w:right w:val="none" w:sz="0" w:space="0" w:color="auto"/>
          </w:divBdr>
        </w:div>
        <w:div w:id="98919580">
          <w:marLeft w:val="1800"/>
          <w:marRight w:val="0"/>
          <w:marTop w:val="120"/>
          <w:marBottom w:val="120"/>
          <w:divBdr>
            <w:top w:val="none" w:sz="0" w:space="0" w:color="auto"/>
            <w:left w:val="none" w:sz="0" w:space="0" w:color="auto"/>
            <w:bottom w:val="none" w:sz="0" w:space="0" w:color="auto"/>
            <w:right w:val="none" w:sz="0" w:space="0" w:color="auto"/>
          </w:divBdr>
        </w:div>
        <w:div w:id="1537961809">
          <w:marLeft w:val="1800"/>
          <w:marRight w:val="0"/>
          <w:marTop w:val="120"/>
          <w:marBottom w:val="120"/>
          <w:divBdr>
            <w:top w:val="none" w:sz="0" w:space="0" w:color="auto"/>
            <w:left w:val="none" w:sz="0" w:space="0" w:color="auto"/>
            <w:bottom w:val="none" w:sz="0" w:space="0" w:color="auto"/>
            <w:right w:val="none" w:sz="0" w:space="0" w:color="auto"/>
          </w:divBdr>
        </w:div>
        <w:div w:id="1460492703">
          <w:marLeft w:val="1166"/>
          <w:marRight w:val="0"/>
          <w:marTop w:val="120"/>
          <w:marBottom w:val="120"/>
          <w:divBdr>
            <w:top w:val="none" w:sz="0" w:space="0" w:color="auto"/>
            <w:left w:val="none" w:sz="0" w:space="0" w:color="auto"/>
            <w:bottom w:val="none" w:sz="0" w:space="0" w:color="auto"/>
            <w:right w:val="none" w:sz="0" w:space="0" w:color="auto"/>
          </w:divBdr>
        </w:div>
        <w:div w:id="1206286413">
          <w:marLeft w:val="1166"/>
          <w:marRight w:val="0"/>
          <w:marTop w:val="120"/>
          <w:marBottom w:val="120"/>
          <w:divBdr>
            <w:top w:val="none" w:sz="0" w:space="0" w:color="auto"/>
            <w:left w:val="none" w:sz="0" w:space="0" w:color="auto"/>
            <w:bottom w:val="none" w:sz="0" w:space="0" w:color="auto"/>
            <w:right w:val="none" w:sz="0" w:space="0" w:color="auto"/>
          </w:divBdr>
        </w:div>
      </w:divsChild>
    </w:div>
    <w:div w:id="1120757433">
      <w:bodyDiv w:val="1"/>
      <w:marLeft w:val="0"/>
      <w:marRight w:val="0"/>
      <w:marTop w:val="0"/>
      <w:marBottom w:val="0"/>
      <w:divBdr>
        <w:top w:val="none" w:sz="0" w:space="0" w:color="auto"/>
        <w:left w:val="none" w:sz="0" w:space="0" w:color="auto"/>
        <w:bottom w:val="none" w:sz="0" w:space="0" w:color="auto"/>
        <w:right w:val="none" w:sz="0" w:space="0" w:color="auto"/>
      </w:divBdr>
    </w:div>
    <w:div w:id="1396389066">
      <w:bodyDiv w:val="1"/>
      <w:marLeft w:val="0"/>
      <w:marRight w:val="0"/>
      <w:marTop w:val="0"/>
      <w:marBottom w:val="0"/>
      <w:divBdr>
        <w:top w:val="none" w:sz="0" w:space="0" w:color="auto"/>
        <w:left w:val="none" w:sz="0" w:space="0" w:color="auto"/>
        <w:bottom w:val="none" w:sz="0" w:space="0" w:color="auto"/>
        <w:right w:val="none" w:sz="0" w:space="0" w:color="auto"/>
      </w:divBdr>
    </w:div>
    <w:div w:id="1592738452">
      <w:bodyDiv w:val="1"/>
      <w:marLeft w:val="0"/>
      <w:marRight w:val="0"/>
      <w:marTop w:val="0"/>
      <w:marBottom w:val="0"/>
      <w:divBdr>
        <w:top w:val="none" w:sz="0" w:space="0" w:color="auto"/>
        <w:left w:val="none" w:sz="0" w:space="0" w:color="auto"/>
        <w:bottom w:val="none" w:sz="0" w:space="0" w:color="auto"/>
        <w:right w:val="none" w:sz="0" w:space="0" w:color="auto"/>
      </w:divBdr>
      <w:divsChild>
        <w:div w:id="653945800">
          <w:marLeft w:val="0"/>
          <w:marRight w:val="0"/>
          <w:marTop w:val="0"/>
          <w:marBottom w:val="0"/>
          <w:divBdr>
            <w:top w:val="none" w:sz="0" w:space="0" w:color="auto"/>
            <w:left w:val="none" w:sz="0" w:space="0" w:color="auto"/>
            <w:bottom w:val="none" w:sz="0" w:space="0" w:color="auto"/>
            <w:right w:val="none" w:sz="0" w:space="0" w:color="auto"/>
          </w:divBdr>
        </w:div>
        <w:div w:id="2127693007">
          <w:marLeft w:val="0"/>
          <w:marRight w:val="0"/>
          <w:marTop w:val="0"/>
          <w:marBottom w:val="0"/>
          <w:divBdr>
            <w:top w:val="none" w:sz="0" w:space="0" w:color="auto"/>
            <w:left w:val="none" w:sz="0" w:space="0" w:color="auto"/>
            <w:bottom w:val="none" w:sz="0" w:space="0" w:color="auto"/>
            <w:right w:val="none" w:sz="0" w:space="0" w:color="auto"/>
          </w:divBdr>
        </w:div>
        <w:div w:id="1905411187">
          <w:marLeft w:val="0"/>
          <w:marRight w:val="0"/>
          <w:marTop w:val="0"/>
          <w:marBottom w:val="0"/>
          <w:divBdr>
            <w:top w:val="none" w:sz="0" w:space="0" w:color="auto"/>
            <w:left w:val="none" w:sz="0" w:space="0" w:color="auto"/>
            <w:bottom w:val="none" w:sz="0" w:space="0" w:color="auto"/>
            <w:right w:val="none" w:sz="0" w:space="0" w:color="auto"/>
          </w:divBdr>
        </w:div>
        <w:div w:id="232278677">
          <w:marLeft w:val="0"/>
          <w:marRight w:val="0"/>
          <w:marTop w:val="0"/>
          <w:marBottom w:val="0"/>
          <w:divBdr>
            <w:top w:val="none" w:sz="0" w:space="0" w:color="auto"/>
            <w:left w:val="none" w:sz="0" w:space="0" w:color="auto"/>
            <w:bottom w:val="none" w:sz="0" w:space="0" w:color="auto"/>
            <w:right w:val="none" w:sz="0" w:space="0" w:color="auto"/>
          </w:divBdr>
        </w:div>
        <w:div w:id="1723484012">
          <w:marLeft w:val="0"/>
          <w:marRight w:val="0"/>
          <w:marTop w:val="0"/>
          <w:marBottom w:val="0"/>
          <w:divBdr>
            <w:top w:val="none" w:sz="0" w:space="0" w:color="auto"/>
            <w:left w:val="none" w:sz="0" w:space="0" w:color="auto"/>
            <w:bottom w:val="none" w:sz="0" w:space="0" w:color="auto"/>
            <w:right w:val="none" w:sz="0" w:space="0" w:color="auto"/>
          </w:divBdr>
        </w:div>
        <w:div w:id="644895707">
          <w:marLeft w:val="0"/>
          <w:marRight w:val="0"/>
          <w:marTop w:val="0"/>
          <w:marBottom w:val="0"/>
          <w:divBdr>
            <w:top w:val="none" w:sz="0" w:space="0" w:color="auto"/>
            <w:left w:val="none" w:sz="0" w:space="0" w:color="auto"/>
            <w:bottom w:val="none" w:sz="0" w:space="0" w:color="auto"/>
            <w:right w:val="none" w:sz="0" w:space="0" w:color="auto"/>
          </w:divBdr>
        </w:div>
        <w:div w:id="478544345">
          <w:marLeft w:val="0"/>
          <w:marRight w:val="0"/>
          <w:marTop w:val="0"/>
          <w:marBottom w:val="0"/>
          <w:divBdr>
            <w:top w:val="none" w:sz="0" w:space="0" w:color="auto"/>
            <w:left w:val="none" w:sz="0" w:space="0" w:color="auto"/>
            <w:bottom w:val="none" w:sz="0" w:space="0" w:color="auto"/>
            <w:right w:val="none" w:sz="0" w:space="0" w:color="auto"/>
          </w:divBdr>
        </w:div>
        <w:div w:id="2047875563">
          <w:marLeft w:val="0"/>
          <w:marRight w:val="0"/>
          <w:marTop w:val="0"/>
          <w:marBottom w:val="0"/>
          <w:divBdr>
            <w:top w:val="none" w:sz="0" w:space="0" w:color="auto"/>
            <w:left w:val="none" w:sz="0" w:space="0" w:color="auto"/>
            <w:bottom w:val="none" w:sz="0" w:space="0" w:color="auto"/>
            <w:right w:val="none" w:sz="0" w:space="0" w:color="auto"/>
          </w:divBdr>
        </w:div>
        <w:div w:id="1789549793">
          <w:marLeft w:val="0"/>
          <w:marRight w:val="0"/>
          <w:marTop w:val="0"/>
          <w:marBottom w:val="0"/>
          <w:divBdr>
            <w:top w:val="none" w:sz="0" w:space="0" w:color="auto"/>
            <w:left w:val="none" w:sz="0" w:space="0" w:color="auto"/>
            <w:bottom w:val="none" w:sz="0" w:space="0" w:color="auto"/>
            <w:right w:val="none" w:sz="0" w:space="0" w:color="auto"/>
          </w:divBdr>
        </w:div>
        <w:div w:id="978917339">
          <w:marLeft w:val="0"/>
          <w:marRight w:val="0"/>
          <w:marTop w:val="0"/>
          <w:marBottom w:val="0"/>
          <w:divBdr>
            <w:top w:val="none" w:sz="0" w:space="0" w:color="auto"/>
            <w:left w:val="none" w:sz="0" w:space="0" w:color="auto"/>
            <w:bottom w:val="none" w:sz="0" w:space="0" w:color="auto"/>
            <w:right w:val="none" w:sz="0" w:space="0" w:color="auto"/>
          </w:divBdr>
        </w:div>
        <w:div w:id="1136027400">
          <w:marLeft w:val="0"/>
          <w:marRight w:val="0"/>
          <w:marTop w:val="0"/>
          <w:marBottom w:val="0"/>
          <w:divBdr>
            <w:top w:val="none" w:sz="0" w:space="0" w:color="auto"/>
            <w:left w:val="none" w:sz="0" w:space="0" w:color="auto"/>
            <w:bottom w:val="none" w:sz="0" w:space="0" w:color="auto"/>
            <w:right w:val="none" w:sz="0" w:space="0" w:color="auto"/>
          </w:divBdr>
        </w:div>
        <w:div w:id="1308049196">
          <w:marLeft w:val="0"/>
          <w:marRight w:val="0"/>
          <w:marTop w:val="0"/>
          <w:marBottom w:val="0"/>
          <w:divBdr>
            <w:top w:val="none" w:sz="0" w:space="0" w:color="auto"/>
            <w:left w:val="none" w:sz="0" w:space="0" w:color="auto"/>
            <w:bottom w:val="none" w:sz="0" w:space="0" w:color="auto"/>
            <w:right w:val="none" w:sz="0" w:space="0" w:color="auto"/>
          </w:divBdr>
        </w:div>
        <w:div w:id="168830543">
          <w:marLeft w:val="0"/>
          <w:marRight w:val="0"/>
          <w:marTop w:val="0"/>
          <w:marBottom w:val="0"/>
          <w:divBdr>
            <w:top w:val="none" w:sz="0" w:space="0" w:color="auto"/>
            <w:left w:val="none" w:sz="0" w:space="0" w:color="auto"/>
            <w:bottom w:val="none" w:sz="0" w:space="0" w:color="auto"/>
            <w:right w:val="none" w:sz="0" w:space="0" w:color="auto"/>
          </w:divBdr>
        </w:div>
        <w:div w:id="833684266">
          <w:marLeft w:val="0"/>
          <w:marRight w:val="0"/>
          <w:marTop w:val="0"/>
          <w:marBottom w:val="0"/>
          <w:divBdr>
            <w:top w:val="none" w:sz="0" w:space="0" w:color="auto"/>
            <w:left w:val="none" w:sz="0" w:space="0" w:color="auto"/>
            <w:bottom w:val="none" w:sz="0" w:space="0" w:color="auto"/>
            <w:right w:val="none" w:sz="0" w:space="0" w:color="auto"/>
          </w:divBdr>
        </w:div>
        <w:div w:id="1641302034">
          <w:marLeft w:val="0"/>
          <w:marRight w:val="0"/>
          <w:marTop w:val="0"/>
          <w:marBottom w:val="0"/>
          <w:divBdr>
            <w:top w:val="none" w:sz="0" w:space="0" w:color="auto"/>
            <w:left w:val="none" w:sz="0" w:space="0" w:color="auto"/>
            <w:bottom w:val="none" w:sz="0" w:space="0" w:color="auto"/>
            <w:right w:val="none" w:sz="0" w:space="0" w:color="auto"/>
          </w:divBdr>
        </w:div>
        <w:div w:id="182594051">
          <w:marLeft w:val="0"/>
          <w:marRight w:val="0"/>
          <w:marTop w:val="0"/>
          <w:marBottom w:val="0"/>
          <w:divBdr>
            <w:top w:val="none" w:sz="0" w:space="0" w:color="auto"/>
            <w:left w:val="none" w:sz="0" w:space="0" w:color="auto"/>
            <w:bottom w:val="none" w:sz="0" w:space="0" w:color="auto"/>
            <w:right w:val="none" w:sz="0" w:space="0" w:color="auto"/>
          </w:divBdr>
        </w:div>
        <w:div w:id="970553482">
          <w:marLeft w:val="0"/>
          <w:marRight w:val="0"/>
          <w:marTop w:val="0"/>
          <w:marBottom w:val="0"/>
          <w:divBdr>
            <w:top w:val="none" w:sz="0" w:space="0" w:color="auto"/>
            <w:left w:val="none" w:sz="0" w:space="0" w:color="auto"/>
            <w:bottom w:val="none" w:sz="0" w:space="0" w:color="auto"/>
            <w:right w:val="none" w:sz="0" w:space="0" w:color="auto"/>
          </w:divBdr>
        </w:div>
        <w:div w:id="55015946">
          <w:marLeft w:val="0"/>
          <w:marRight w:val="0"/>
          <w:marTop w:val="0"/>
          <w:marBottom w:val="0"/>
          <w:divBdr>
            <w:top w:val="none" w:sz="0" w:space="0" w:color="auto"/>
            <w:left w:val="none" w:sz="0" w:space="0" w:color="auto"/>
            <w:bottom w:val="none" w:sz="0" w:space="0" w:color="auto"/>
            <w:right w:val="none" w:sz="0" w:space="0" w:color="auto"/>
          </w:divBdr>
        </w:div>
        <w:div w:id="237251239">
          <w:marLeft w:val="0"/>
          <w:marRight w:val="0"/>
          <w:marTop w:val="0"/>
          <w:marBottom w:val="0"/>
          <w:divBdr>
            <w:top w:val="none" w:sz="0" w:space="0" w:color="auto"/>
            <w:left w:val="none" w:sz="0" w:space="0" w:color="auto"/>
            <w:bottom w:val="none" w:sz="0" w:space="0" w:color="auto"/>
            <w:right w:val="none" w:sz="0" w:space="0" w:color="auto"/>
          </w:divBdr>
        </w:div>
        <w:div w:id="1514765609">
          <w:marLeft w:val="0"/>
          <w:marRight w:val="0"/>
          <w:marTop w:val="0"/>
          <w:marBottom w:val="0"/>
          <w:divBdr>
            <w:top w:val="none" w:sz="0" w:space="0" w:color="auto"/>
            <w:left w:val="none" w:sz="0" w:space="0" w:color="auto"/>
            <w:bottom w:val="none" w:sz="0" w:space="0" w:color="auto"/>
            <w:right w:val="none" w:sz="0" w:space="0" w:color="auto"/>
          </w:divBdr>
        </w:div>
        <w:div w:id="1108812883">
          <w:marLeft w:val="0"/>
          <w:marRight w:val="0"/>
          <w:marTop w:val="0"/>
          <w:marBottom w:val="0"/>
          <w:divBdr>
            <w:top w:val="none" w:sz="0" w:space="0" w:color="auto"/>
            <w:left w:val="none" w:sz="0" w:space="0" w:color="auto"/>
            <w:bottom w:val="none" w:sz="0" w:space="0" w:color="auto"/>
            <w:right w:val="none" w:sz="0" w:space="0" w:color="auto"/>
          </w:divBdr>
        </w:div>
        <w:div w:id="172766266">
          <w:marLeft w:val="0"/>
          <w:marRight w:val="0"/>
          <w:marTop w:val="0"/>
          <w:marBottom w:val="0"/>
          <w:divBdr>
            <w:top w:val="none" w:sz="0" w:space="0" w:color="auto"/>
            <w:left w:val="none" w:sz="0" w:space="0" w:color="auto"/>
            <w:bottom w:val="none" w:sz="0" w:space="0" w:color="auto"/>
            <w:right w:val="none" w:sz="0" w:space="0" w:color="auto"/>
          </w:divBdr>
        </w:div>
        <w:div w:id="1054736416">
          <w:marLeft w:val="0"/>
          <w:marRight w:val="0"/>
          <w:marTop w:val="0"/>
          <w:marBottom w:val="0"/>
          <w:divBdr>
            <w:top w:val="none" w:sz="0" w:space="0" w:color="auto"/>
            <w:left w:val="none" w:sz="0" w:space="0" w:color="auto"/>
            <w:bottom w:val="none" w:sz="0" w:space="0" w:color="auto"/>
            <w:right w:val="none" w:sz="0" w:space="0" w:color="auto"/>
          </w:divBdr>
        </w:div>
        <w:div w:id="1508054106">
          <w:marLeft w:val="0"/>
          <w:marRight w:val="0"/>
          <w:marTop w:val="0"/>
          <w:marBottom w:val="0"/>
          <w:divBdr>
            <w:top w:val="none" w:sz="0" w:space="0" w:color="auto"/>
            <w:left w:val="none" w:sz="0" w:space="0" w:color="auto"/>
            <w:bottom w:val="none" w:sz="0" w:space="0" w:color="auto"/>
            <w:right w:val="none" w:sz="0" w:space="0" w:color="auto"/>
          </w:divBdr>
        </w:div>
        <w:div w:id="1355303937">
          <w:marLeft w:val="0"/>
          <w:marRight w:val="0"/>
          <w:marTop w:val="0"/>
          <w:marBottom w:val="0"/>
          <w:divBdr>
            <w:top w:val="none" w:sz="0" w:space="0" w:color="auto"/>
            <w:left w:val="none" w:sz="0" w:space="0" w:color="auto"/>
            <w:bottom w:val="none" w:sz="0" w:space="0" w:color="auto"/>
            <w:right w:val="none" w:sz="0" w:space="0" w:color="auto"/>
          </w:divBdr>
        </w:div>
        <w:div w:id="1595288089">
          <w:marLeft w:val="0"/>
          <w:marRight w:val="0"/>
          <w:marTop w:val="0"/>
          <w:marBottom w:val="0"/>
          <w:divBdr>
            <w:top w:val="none" w:sz="0" w:space="0" w:color="auto"/>
            <w:left w:val="none" w:sz="0" w:space="0" w:color="auto"/>
            <w:bottom w:val="none" w:sz="0" w:space="0" w:color="auto"/>
            <w:right w:val="none" w:sz="0" w:space="0" w:color="auto"/>
          </w:divBdr>
        </w:div>
        <w:div w:id="555627619">
          <w:marLeft w:val="0"/>
          <w:marRight w:val="0"/>
          <w:marTop w:val="0"/>
          <w:marBottom w:val="0"/>
          <w:divBdr>
            <w:top w:val="none" w:sz="0" w:space="0" w:color="auto"/>
            <w:left w:val="none" w:sz="0" w:space="0" w:color="auto"/>
            <w:bottom w:val="none" w:sz="0" w:space="0" w:color="auto"/>
            <w:right w:val="none" w:sz="0" w:space="0" w:color="auto"/>
          </w:divBdr>
        </w:div>
        <w:div w:id="1293363131">
          <w:marLeft w:val="0"/>
          <w:marRight w:val="0"/>
          <w:marTop w:val="0"/>
          <w:marBottom w:val="0"/>
          <w:divBdr>
            <w:top w:val="none" w:sz="0" w:space="0" w:color="auto"/>
            <w:left w:val="none" w:sz="0" w:space="0" w:color="auto"/>
            <w:bottom w:val="none" w:sz="0" w:space="0" w:color="auto"/>
            <w:right w:val="none" w:sz="0" w:space="0" w:color="auto"/>
          </w:divBdr>
        </w:div>
        <w:div w:id="1135179317">
          <w:marLeft w:val="0"/>
          <w:marRight w:val="0"/>
          <w:marTop w:val="0"/>
          <w:marBottom w:val="0"/>
          <w:divBdr>
            <w:top w:val="none" w:sz="0" w:space="0" w:color="auto"/>
            <w:left w:val="none" w:sz="0" w:space="0" w:color="auto"/>
            <w:bottom w:val="none" w:sz="0" w:space="0" w:color="auto"/>
            <w:right w:val="none" w:sz="0" w:space="0" w:color="auto"/>
          </w:divBdr>
        </w:div>
        <w:div w:id="208735129">
          <w:marLeft w:val="0"/>
          <w:marRight w:val="0"/>
          <w:marTop w:val="0"/>
          <w:marBottom w:val="0"/>
          <w:divBdr>
            <w:top w:val="none" w:sz="0" w:space="0" w:color="auto"/>
            <w:left w:val="none" w:sz="0" w:space="0" w:color="auto"/>
            <w:bottom w:val="none" w:sz="0" w:space="0" w:color="auto"/>
            <w:right w:val="none" w:sz="0" w:space="0" w:color="auto"/>
          </w:divBdr>
        </w:div>
        <w:div w:id="2003778556">
          <w:marLeft w:val="0"/>
          <w:marRight w:val="0"/>
          <w:marTop w:val="0"/>
          <w:marBottom w:val="0"/>
          <w:divBdr>
            <w:top w:val="none" w:sz="0" w:space="0" w:color="auto"/>
            <w:left w:val="none" w:sz="0" w:space="0" w:color="auto"/>
            <w:bottom w:val="none" w:sz="0" w:space="0" w:color="auto"/>
            <w:right w:val="none" w:sz="0" w:space="0" w:color="auto"/>
          </w:divBdr>
        </w:div>
        <w:div w:id="1397507453">
          <w:marLeft w:val="0"/>
          <w:marRight w:val="0"/>
          <w:marTop w:val="0"/>
          <w:marBottom w:val="0"/>
          <w:divBdr>
            <w:top w:val="none" w:sz="0" w:space="0" w:color="auto"/>
            <w:left w:val="none" w:sz="0" w:space="0" w:color="auto"/>
            <w:bottom w:val="none" w:sz="0" w:space="0" w:color="auto"/>
            <w:right w:val="none" w:sz="0" w:space="0" w:color="auto"/>
          </w:divBdr>
        </w:div>
        <w:div w:id="2027710014">
          <w:marLeft w:val="0"/>
          <w:marRight w:val="0"/>
          <w:marTop w:val="0"/>
          <w:marBottom w:val="0"/>
          <w:divBdr>
            <w:top w:val="none" w:sz="0" w:space="0" w:color="auto"/>
            <w:left w:val="none" w:sz="0" w:space="0" w:color="auto"/>
            <w:bottom w:val="none" w:sz="0" w:space="0" w:color="auto"/>
            <w:right w:val="none" w:sz="0" w:space="0" w:color="auto"/>
          </w:divBdr>
        </w:div>
        <w:div w:id="186068747">
          <w:marLeft w:val="0"/>
          <w:marRight w:val="0"/>
          <w:marTop w:val="0"/>
          <w:marBottom w:val="0"/>
          <w:divBdr>
            <w:top w:val="none" w:sz="0" w:space="0" w:color="auto"/>
            <w:left w:val="none" w:sz="0" w:space="0" w:color="auto"/>
            <w:bottom w:val="none" w:sz="0" w:space="0" w:color="auto"/>
            <w:right w:val="none" w:sz="0" w:space="0" w:color="auto"/>
          </w:divBdr>
        </w:div>
        <w:div w:id="1128662577">
          <w:marLeft w:val="0"/>
          <w:marRight w:val="0"/>
          <w:marTop w:val="0"/>
          <w:marBottom w:val="0"/>
          <w:divBdr>
            <w:top w:val="none" w:sz="0" w:space="0" w:color="auto"/>
            <w:left w:val="none" w:sz="0" w:space="0" w:color="auto"/>
            <w:bottom w:val="none" w:sz="0" w:space="0" w:color="auto"/>
            <w:right w:val="none" w:sz="0" w:space="0" w:color="auto"/>
          </w:divBdr>
        </w:div>
        <w:div w:id="399907152">
          <w:marLeft w:val="0"/>
          <w:marRight w:val="0"/>
          <w:marTop w:val="0"/>
          <w:marBottom w:val="0"/>
          <w:divBdr>
            <w:top w:val="none" w:sz="0" w:space="0" w:color="auto"/>
            <w:left w:val="none" w:sz="0" w:space="0" w:color="auto"/>
            <w:bottom w:val="none" w:sz="0" w:space="0" w:color="auto"/>
            <w:right w:val="none" w:sz="0" w:space="0" w:color="auto"/>
          </w:divBdr>
        </w:div>
        <w:div w:id="706565031">
          <w:marLeft w:val="0"/>
          <w:marRight w:val="0"/>
          <w:marTop w:val="0"/>
          <w:marBottom w:val="0"/>
          <w:divBdr>
            <w:top w:val="none" w:sz="0" w:space="0" w:color="auto"/>
            <w:left w:val="none" w:sz="0" w:space="0" w:color="auto"/>
            <w:bottom w:val="none" w:sz="0" w:space="0" w:color="auto"/>
            <w:right w:val="none" w:sz="0" w:space="0" w:color="auto"/>
          </w:divBdr>
        </w:div>
        <w:div w:id="1267930659">
          <w:marLeft w:val="0"/>
          <w:marRight w:val="0"/>
          <w:marTop w:val="0"/>
          <w:marBottom w:val="0"/>
          <w:divBdr>
            <w:top w:val="none" w:sz="0" w:space="0" w:color="auto"/>
            <w:left w:val="none" w:sz="0" w:space="0" w:color="auto"/>
            <w:bottom w:val="none" w:sz="0" w:space="0" w:color="auto"/>
            <w:right w:val="none" w:sz="0" w:space="0" w:color="auto"/>
          </w:divBdr>
        </w:div>
        <w:div w:id="1176388289">
          <w:marLeft w:val="0"/>
          <w:marRight w:val="0"/>
          <w:marTop w:val="0"/>
          <w:marBottom w:val="0"/>
          <w:divBdr>
            <w:top w:val="none" w:sz="0" w:space="0" w:color="auto"/>
            <w:left w:val="none" w:sz="0" w:space="0" w:color="auto"/>
            <w:bottom w:val="none" w:sz="0" w:space="0" w:color="auto"/>
            <w:right w:val="none" w:sz="0" w:space="0" w:color="auto"/>
          </w:divBdr>
        </w:div>
        <w:div w:id="2015106463">
          <w:marLeft w:val="0"/>
          <w:marRight w:val="0"/>
          <w:marTop w:val="0"/>
          <w:marBottom w:val="0"/>
          <w:divBdr>
            <w:top w:val="none" w:sz="0" w:space="0" w:color="auto"/>
            <w:left w:val="none" w:sz="0" w:space="0" w:color="auto"/>
            <w:bottom w:val="none" w:sz="0" w:space="0" w:color="auto"/>
            <w:right w:val="none" w:sz="0" w:space="0" w:color="auto"/>
          </w:divBdr>
        </w:div>
        <w:div w:id="131758116">
          <w:marLeft w:val="0"/>
          <w:marRight w:val="0"/>
          <w:marTop w:val="0"/>
          <w:marBottom w:val="0"/>
          <w:divBdr>
            <w:top w:val="none" w:sz="0" w:space="0" w:color="auto"/>
            <w:left w:val="none" w:sz="0" w:space="0" w:color="auto"/>
            <w:bottom w:val="none" w:sz="0" w:space="0" w:color="auto"/>
            <w:right w:val="none" w:sz="0" w:space="0" w:color="auto"/>
          </w:divBdr>
        </w:div>
        <w:div w:id="849754832">
          <w:marLeft w:val="0"/>
          <w:marRight w:val="0"/>
          <w:marTop w:val="0"/>
          <w:marBottom w:val="0"/>
          <w:divBdr>
            <w:top w:val="none" w:sz="0" w:space="0" w:color="auto"/>
            <w:left w:val="none" w:sz="0" w:space="0" w:color="auto"/>
            <w:bottom w:val="none" w:sz="0" w:space="0" w:color="auto"/>
            <w:right w:val="none" w:sz="0" w:space="0" w:color="auto"/>
          </w:divBdr>
        </w:div>
        <w:div w:id="1400134634">
          <w:marLeft w:val="0"/>
          <w:marRight w:val="0"/>
          <w:marTop w:val="0"/>
          <w:marBottom w:val="0"/>
          <w:divBdr>
            <w:top w:val="none" w:sz="0" w:space="0" w:color="auto"/>
            <w:left w:val="none" w:sz="0" w:space="0" w:color="auto"/>
            <w:bottom w:val="none" w:sz="0" w:space="0" w:color="auto"/>
            <w:right w:val="none" w:sz="0" w:space="0" w:color="auto"/>
          </w:divBdr>
        </w:div>
        <w:div w:id="1164975587">
          <w:marLeft w:val="0"/>
          <w:marRight w:val="0"/>
          <w:marTop w:val="0"/>
          <w:marBottom w:val="0"/>
          <w:divBdr>
            <w:top w:val="none" w:sz="0" w:space="0" w:color="auto"/>
            <w:left w:val="none" w:sz="0" w:space="0" w:color="auto"/>
            <w:bottom w:val="none" w:sz="0" w:space="0" w:color="auto"/>
            <w:right w:val="none" w:sz="0" w:space="0" w:color="auto"/>
          </w:divBdr>
        </w:div>
        <w:div w:id="465467464">
          <w:marLeft w:val="0"/>
          <w:marRight w:val="0"/>
          <w:marTop w:val="0"/>
          <w:marBottom w:val="0"/>
          <w:divBdr>
            <w:top w:val="none" w:sz="0" w:space="0" w:color="auto"/>
            <w:left w:val="none" w:sz="0" w:space="0" w:color="auto"/>
            <w:bottom w:val="none" w:sz="0" w:space="0" w:color="auto"/>
            <w:right w:val="none" w:sz="0" w:space="0" w:color="auto"/>
          </w:divBdr>
        </w:div>
        <w:div w:id="138767069">
          <w:marLeft w:val="0"/>
          <w:marRight w:val="0"/>
          <w:marTop w:val="0"/>
          <w:marBottom w:val="0"/>
          <w:divBdr>
            <w:top w:val="none" w:sz="0" w:space="0" w:color="auto"/>
            <w:left w:val="none" w:sz="0" w:space="0" w:color="auto"/>
            <w:bottom w:val="none" w:sz="0" w:space="0" w:color="auto"/>
            <w:right w:val="none" w:sz="0" w:space="0" w:color="auto"/>
          </w:divBdr>
        </w:div>
        <w:div w:id="1134256644">
          <w:marLeft w:val="0"/>
          <w:marRight w:val="0"/>
          <w:marTop w:val="0"/>
          <w:marBottom w:val="0"/>
          <w:divBdr>
            <w:top w:val="none" w:sz="0" w:space="0" w:color="auto"/>
            <w:left w:val="none" w:sz="0" w:space="0" w:color="auto"/>
            <w:bottom w:val="none" w:sz="0" w:space="0" w:color="auto"/>
            <w:right w:val="none" w:sz="0" w:space="0" w:color="auto"/>
          </w:divBdr>
        </w:div>
        <w:div w:id="1569145396">
          <w:marLeft w:val="0"/>
          <w:marRight w:val="0"/>
          <w:marTop w:val="0"/>
          <w:marBottom w:val="0"/>
          <w:divBdr>
            <w:top w:val="none" w:sz="0" w:space="0" w:color="auto"/>
            <w:left w:val="none" w:sz="0" w:space="0" w:color="auto"/>
            <w:bottom w:val="none" w:sz="0" w:space="0" w:color="auto"/>
            <w:right w:val="none" w:sz="0" w:space="0" w:color="auto"/>
          </w:divBdr>
        </w:div>
        <w:div w:id="1436050228">
          <w:marLeft w:val="0"/>
          <w:marRight w:val="0"/>
          <w:marTop w:val="0"/>
          <w:marBottom w:val="0"/>
          <w:divBdr>
            <w:top w:val="none" w:sz="0" w:space="0" w:color="auto"/>
            <w:left w:val="none" w:sz="0" w:space="0" w:color="auto"/>
            <w:bottom w:val="none" w:sz="0" w:space="0" w:color="auto"/>
            <w:right w:val="none" w:sz="0" w:space="0" w:color="auto"/>
          </w:divBdr>
        </w:div>
        <w:div w:id="1535269780">
          <w:marLeft w:val="0"/>
          <w:marRight w:val="0"/>
          <w:marTop w:val="0"/>
          <w:marBottom w:val="0"/>
          <w:divBdr>
            <w:top w:val="none" w:sz="0" w:space="0" w:color="auto"/>
            <w:left w:val="none" w:sz="0" w:space="0" w:color="auto"/>
            <w:bottom w:val="none" w:sz="0" w:space="0" w:color="auto"/>
            <w:right w:val="none" w:sz="0" w:space="0" w:color="auto"/>
          </w:divBdr>
        </w:div>
        <w:div w:id="1463691755">
          <w:marLeft w:val="0"/>
          <w:marRight w:val="0"/>
          <w:marTop w:val="0"/>
          <w:marBottom w:val="0"/>
          <w:divBdr>
            <w:top w:val="none" w:sz="0" w:space="0" w:color="auto"/>
            <w:left w:val="none" w:sz="0" w:space="0" w:color="auto"/>
            <w:bottom w:val="none" w:sz="0" w:space="0" w:color="auto"/>
            <w:right w:val="none" w:sz="0" w:space="0" w:color="auto"/>
          </w:divBdr>
        </w:div>
        <w:div w:id="671834327">
          <w:marLeft w:val="0"/>
          <w:marRight w:val="0"/>
          <w:marTop w:val="0"/>
          <w:marBottom w:val="0"/>
          <w:divBdr>
            <w:top w:val="none" w:sz="0" w:space="0" w:color="auto"/>
            <w:left w:val="none" w:sz="0" w:space="0" w:color="auto"/>
            <w:bottom w:val="none" w:sz="0" w:space="0" w:color="auto"/>
            <w:right w:val="none" w:sz="0" w:space="0" w:color="auto"/>
          </w:divBdr>
        </w:div>
        <w:div w:id="1283539701">
          <w:marLeft w:val="0"/>
          <w:marRight w:val="0"/>
          <w:marTop w:val="0"/>
          <w:marBottom w:val="0"/>
          <w:divBdr>
            <w:top w:val="none" w:sz="0" w:space="0" w:color="auto"/>
            <w:left w:val="none" w:sz="0" w:space="0" w:color="auto"/>
            <w:bottom w:val="none" w:sz="0" w:space="0" w:color="auto"/>
            <w:right w:val="none" w:sz="0" w:space="0" w:color="auto"/>
          </w:divBdr>
        </w:div>
        <w:div w:id="1133015061">
          <w:marLeft w:val="0"/>
          <w:marRight w:val="0"/>
          <w:marTop w:val="0"/>
          <w:marBottom w:val="0"/>
          <w:divBdr>
            <w:top w:val="none" w:sz="0" w:space="0" w:color="auto"/>
            <w:left w:val="none" w:sz="0" w:space="0" w:color="auto"/>
            <w:bottom w:val="none" w:sz="0" w:space="0" w:color="auto"/>
            <w:right w:val="none" w:sz="0" w:space="0" w:color="auto"/>
          </w:divBdr>
        </w:div>
        <w:div w:id="271787683">
          <w:marLeft w:val="0"/>
          <w:marRight w:val="0"/>
          <w:marTop w:val="0"/>
          <w:marBottom w:val="0"/>
          <w:divBdr>
            <w:top w:val="none" w:sz="0" w:space="0" w:color="auto"/>
            <w:left w:val="none" w:sz="0" w:space="0" w:color="auto"/>
            <w:bottom w:val="none" w:sz="0" w:space="0" w:color="auto"/>
            <w:right w:val="none" w:sz="0" w:space="0" w:color="auto"/>
          </w:divBdr>
        </w:div>
        <w:div w:id="1218319358">
          <w:marLeft w:val="0"/>
          <w:marRight w:val="0"/>
          <w:marTop w:val="0"/>
          <w:marBottom w:val="0"/>
          <w:divBdr>
            <w:top w:val="none" w:sz="0" w:space="0" w:color="auto"/>
            <w:left w:val="none" w:sz="0" w:space="0" w:color="auto"/>
            <w:bottom w:val="none" w:sz="0" w:space="0" w:color="auto"/>
            <w:right w:val="none" w:sz="0" w:space="0" w:color="auto"/>
          </w:divBdr>
        </w:div>
        <w:div w:id="2143617437">
          <w:marLeft w:val="0"/>
          <w:marRight w:val="0"/>
          <w:marTop w:val="0"/>
          <w:marBottom w:val="0"/>
          <w:divBdr>
            <w:top w:val="none" w:sz="0" w:space="0" w:color="auto"/>
            <w:left w:val="none" w:sz="0" w:space="0" w:color="auto"/>
            <w:bottom w:val="none" w:sz="0" w:space="0" w:color="auto"/>
            <w:right w:val="none" w:sz="0" w:space="0" w:color="auto"/>
          </w:divBdr>
        </w:div>
        <w:div w:id="2084714950">
          <w:marLeft w:val="0"/>
          <w:marRight w:val="0"/>
          <w:marTop w:val="0"/>
          <w:marBottom w:val="0"/>
          <w:divBdr>
            <w:top w:val="none" w:sz="0" w:space="0" w:color="auto"/>
            <w:left w:val="none" w:sz="0" w:space="0" w:color="auto"/>
            <w:bottom w:val="none" w:sz="0" w:space="0" w:color="auto"/>
            <w:right w:val="none" w:sz="0" w:space="0" w:color="auto"/>
          </w:divBdr>
        </w:div>
        <w:div w:id="177281509">
          <w:marLeft w:val="0"/>
          <w:marRight w:val="0"/>
          <w:marTop w:val="0"/>
          <w:marBottom w:val="0"/>
          <w:divBdr>
            <w:top w:val="none" w:sz="0" w:space="0" w:color="auto"/>
            <w:left w:val="none" w:sz="0" w:space="0" w:color="auto"/>
            <w:bottom w:val="none" w:sz="0" w:space="0" w:color="auto"/>
            <w:right w:val="none" w:sz="0" w:space="0" w:color="auto"/>
          </w:divBdr>
        </w:div>
        <w:div w:id="2141921884">
          <w:marLeft w:val="0"/>
          <w:marRight w:val="0"/>
          <w:marTop w:val="0"/>
          <w:marBottom w:val="0"/>
          <w:divBdr>
            <w:top w:val="none" w:sz="0" w:space="0" w:color="auto"/>
            <w:left w:val="none" w:sz="0" w:space="0" w:color="auto"/>
            <w:bottom w:val="none" w:sz="0" w:space="0" w:color="auto"/>
            <w:right w:val="none" w:sz="0" w:space="0" w:color="auto"/>
          </w:divBdr>
        </w:div>
        <w:div w:id="804346781">
          <w:marLeft w:val="0"/>
          <w:marRight w:val="0"/>
          <w:marTop w:val="0"/>
          <w:marBottom w:val="0"/>
          <w:divBdr>
            <w:top w:val="none" w:sz="0" w:space="0" w:color="auto"/>
            <w:left w:val="none" w:sz="0" w:space="0" w:color="auto"/>
            <w:bottom w:val="none" w:sz="0" w:space="0" w:color="auto"/>
            <w:right w:val="none" w:sz="0" w:space="0" w:color="auto"/>
          </w:divBdr>
        </w:div>
        <w:div w:id="723796396">
          <w:marLeft w:val="0"/>
          <w:marRight w:val="0"/>
          <w:marTop w:val="0"/>
          <w:marBottom w:val="0"/>
          <w:divBdr>
            <w:top w:val="none" w:sz="0" w:space="0" w:color="auto"/>
            <w:left w:val="none" w:sz="0" w:space="0" w:color="auto"/>
            <w:bottom w:val="none" w:sz="0" w:space="0" w:color="auto"/>
            <w:right w:val="none" w:sz="0" w:space="0" w:color="auto"/>
          </w:divBdr>
        </w:div>
        <w:div w:id="2138060176">
          <w:marLeft w:val="0"/>
          <w:marRight w:val="0"/>
          <w:marTop w:val="0"/>
          <w:marBottom w:val="0"/>
          <w:divBdr>
            <w:top w:val="none" w:sz="0" w:space="0" w:color="auto"/>
            <w:left w:val="none" w:sz="0" w:space="0" w:color="auto"/>
            <w:bottom w:val="none" w:sz="0" w:space="0" w:color="auto"/>
            <w:right w:val="none" w:sz="0" w:space="0" w:color="auto"/>
          </w:divBdr>
        </w:div>
        <w:div w:id="1596325902">
          <w:marLeft w:val="0"/>
          <w:marRight w:val="0"/>
          <w:marTop w:val="0"/>
          <w:marBottom w:val="0"/>
          <w:divBdr>
            <w:top w:val="none" w:sz="0" w:space="0" w:color="auto"/>
            <w:left w:val="none" w:sz="0" w:space="0" w:color="auto"/>
            <w:bottom w:val="none" w:sz="0" w:space="0" w:color="auto"/>
            <w:right w:val="none" w:sz="0" w:space="0" w:color="auto"/>
          </w:divBdr>
        </w:div>
        <w:div w:id="492259529">
          <w:marLeft w:val="0"/>
          <w:marRight w:val="0"/>
          <w:marTop w:val="0"/>
          <w:marBottom w:val="0"/>
          <w:divBdr>
            <w:top w:val="none" w:sz="0" w:space="0" w:color="auto"/>
            <w:left w:val="none" w:sz="0" w:space="0" w:color="auto"/>
            <w:bottom w:val="none" w:sz="0" w:space="0" w:color="auto"/>
            <w:right w:val="none" w:sz="0" w:space="0" w:color="auto"/>
          </w:divBdr>
        </w:div>
        <w:div w:id="1999844902">
          <w:marLeft w:val="0"/>
          <w:marRight w:val="0"/>
          <w:marTop w:val="0"/>
          <w:marBottom w:val="0"/>
          <w:divBdr>
            <w:top w:val="none" w:sz="0" w:space="0" w:color="auto"/>
            <w:left w:val="none" w:sz="0" w:space="0" w:color="auto"/>
            <w:bottom w:val="none" w:sz="0" w:space="0" w:color="auto"/>
            <w:right w:val="none" w:sz="0" w:space="0" w:color="auto"/>
          </w:divBdr>
        </w:div>
        <w:div w:id="1969047729">
          <w:marLeft w:val="0"/>
          <w:marRight w:val="0"/>
          <w:marTop w:val="0"/>
          <w:marBottom w:val="0"/>
          <w:divBdr>
            <w:top w:val="none" w:sz="0" w:space="0" w:color="auto"/>
            <w:left w:val="none" w:sz="0" w:space="0" w:color="auto"/>
            <w:bottom w:val="none" w:sz="0" w:space="0" w:color="auto"/>
            <w:right w:val="none" w:sz="0" w:space="0" w:color="auto"/>
          </w:divBdr>
        </w:div>
        <w:div w:id="1196847481">
          <w:marLeft w:val="0"/>
          <w:marRight w:val="0"/>
          <w:marTop w:val="0"/>
          <w:marBottom w:val="0"/>
          <w:divBdr>
            <w:top w:val="none" w:sz="0" w:space="0" w:color="auto"/>
            <w:left w:val="none" w:sz="0" w:space="0" w:color="auto"/>
            <w:bottom w:val="none" w:sz="0" w:space="0" w:color="auto"/>
            <w:right w:val="none" w:sz="0" w:space="0" w:color="auto"/>
          </w:divBdr>
        </w:div>
        <w:div w:id="1350180329">
          <w:marLeft w:val="0"/>
          <w:marRight w:val="0"/>
          <w:marTop w:val="0"/>
          <w:marBottom w:val="0"/>
          <w:divBdr>
            <w:top w:val="none" w:sz="0" w:space="0" w:color="auto"/>
            <w:left w:val="none" w:sz="0" w:space="0" w:color="auto"/>
            <w:bottom w:val="none" w:sz="0" w:space="0" w:color="auto"/>
            <w:right w:val="none" w:sz="0" w:space="0" w:color="auto"/>
          </w:divBdr>
        </w:div>
        <w:div w:id="215048272">
          <w:marLeft w:val="0"/>
          <w:marRight w:val="0"/>
          <w:marTop w:val="0"/>
          <w:marBottom w:val="0"/>
          <w:divBdr>
            <w:top w:val="none" w:sz="0" w:space="0" w:color="auto"/>
            <w:left w:val="none" w:sz="0" w:space="0" w:color="auto"/>
            <w:bottom w:val="none" w:sz="0" w:space="0" w:color="auto"/>
            <w:right w:val="none" w:sz="0" w:space="0" w:color="auto"/>
          </w:divBdr>
        </w:div>
        <w:div w:id="119765870">
          <w:marLeft w:val="0"/>
          <w:marRight w:val="0"/>
          <w:marTop w:val="0"/>
          <w:marBottom w:val="0"/>
          <w:divBdr>
            <w:top w:val="none" w:sz="0" w:space="0" w:color="auto"/>
            <w:left w:val="none" w:sz="0" w:space="0" w:color="auto"/>
            <w:bottom w:val="none" w:sz="0" w:space="0" w:color="auto"/>
            <w:right w:val="none" w:sz="0" w:space="0" w:color="auto"/>
          </w:divBdr>
        </w:div>
        <w:div w:id="1683049717">
          <w:marLeft w:val="0"/>
          <w:marRight w:val="0"/>
          <w:marTop w:val="0"/>
          <w:marBottom w:val="0"/>
          <w:divBdr>
            <w:top w:val="none" w:sz="0" w:space="0" w:color="auto"/>
            <w:left w:val="none" w:sz="0" w:space="0" w:color="auto"/>
            <w:bottom w:val="none" w:sz="0" w:space="0" w:color="auto"/>
            <w:right w:val="none" w:sz="0" w:space="0" w:color="auto"/>
          </w:divBdr>
        </w:div>
        <w:div w:id="1740248679">
          <w:marLeft w:val="0"/>
          <w:marRight w:val="0"/>
          <w:marTop w:val="0"/>
          <w:marBottom w:val="0"/>
          <w:divBdr>
            <w:top w:val="none" w:sz="0" w:space="0" w:color="auto"/>
            <w:left w:val="none" w:sz="0" w:space="0" w:color="auto"/>
            <w:bottom w:val="none" w:sz="0" w:space="0" w:color="auto"/>
            <w:right w:val="none" w:sz="0" w:space="0" w:color="auto"/>
          </w:divBdr>
        </w:div>
        <w:div w:id="1906989022">
          <w:marLeft w:val="0"/>
          <w:marRight w:val="0"/>
          <w:marTop w:val="0"/>
          <w:marBottom w:val="0"/>
          <w:divBdr>
            <w:top w:val="none" w:sz="0" w:space="0" w:color="auto"/>
            <w:left w:val="none" w:sz="0" w:space="0" w:color="auto"/>
            <w:bottom w:val="none" w:sz="0" w:space="0" w:color="auto"/>
            <w:right w:val="none" w:sz="0" w:space="0" w:color="auto"/>
          </w:divBdr>
        </w:div>
        <w:div w:id="18161334">
          <w:marLeft w:val="0"/>
          <w:marRight w:val="0"/>
          <w:marTop w:val="0"/>
          <w:marBottom w:val="0"/>
          <w:divBdr>
            <w:top w:val="none" w:sz="0" w:space="0" w:color="auto"/>
            <w:left w:val="none" w:sz="0" w:space="0" w:color="auto"/>
            <w:bottom w:val="none" w:sz="0" w:space="0" w:color="auto"/>
            <w:right w:val="none" w:sz="0" w:space="0" w:color="auto"/>
          </w:divBdr>
        </w:div>
        <w:div w:id="898051796">
          <w:marLeft w:val="0"/>
          <w:marRight w:val="0"/>
          <w:marTop w:val="0"/>
          <w:marBottom w:val="0"/>
          <w:divBdr>
            <w:top w:val="none" w:sz="0" w:space="0" w:color="auto"/>
            <w:left w:val="none" w:sz="0" w:space="0" w:color="auto"/>
            <w:bottom w:val="none" w:sz="0" w:space="0" w:color="auto"/>
            <w:right w:val="none" w:sz="0" w:space="0" w:color="auto"/>
          </w:divBdr>
        </w:div>
        <w:div w:id="489104846">
          <w:marLeft w:val="0"/>
          <w:marRight w:val="0"/>
          <w:marTop w:val="0"/>
          <w:marBottom w:val="0"/>
          <w:divBdr>
            <w:top w:val="none" w:sz="0" w:space="0" w:color="auto"/>
            <w:left w:val="none" w:sz="0" w:space="0" w:color="auto"/>
            <w:bottom w:val="none" w:sz="0" w:space="0" w:color="auto"/>
            <w:right w:val="none" w:sz="0" w:space="0" w:color="auto"/>
          </w:divBdr>
        </w:div>
        <w:div w:id="1816605589">
          <w:marLeft w:val="0"/>
          <w:marRight w:val="0"/>
          <w:marTop w:val="0"/>
          <w:marBottom w:val="0"/>
          <w:divBdr>
            <w:top w:val="none" w:sz="0" w:space="0" w:color="auto"/>
            <w:left w:val="none" w:sz="0" w:space="0" w:color="auto"/>
            <w:bottom w:val="none" w:sz="0" w:space="0" w:color="auto"/>
            <w:right w:val="none" w:sz="0" w:space="0" w:color="auto"/>
          </w:divBdr>
        </w:div>
        <w:div w:id="1729062291">
          <w:marLeft w:val="0"/>
          <w:marRight w:val="0"/>
          <w:marTop w:val="0"/>
          <w:marBottom w:val="0"/>
          <w:divBdr>
            <w:top w:val="none" w:sz="0" w:space="0" w:color="auto"/>
            <w:left w:val="none" w:sz="0" w:space="0" w:color="auto"/>
            <w:bottom w:val="none" w:sz="0" w:space="0" w:color="auto"/>
            <w:right w:val="none" w:sz="0" w:space="0" w:color="auto"/>
          </w:divBdr>
        </w:div>
        <w:div w:id="1559439240">
          <w:marLeft w:val="0"/>
          <w:marRight w:val="0"/>
          <w:marTop w:val="0"/>
          <w:marBottom w:val="0"/>
          <w:divBdr>
            <w:top w:val="none" w:sz="0" w:space="0" w:color="auto"/>
            <w:left w:val="none" w:sz="0" w:space="0" w:color="auto"/>
            <w:bottom w:val="none" w:sz="0" w:space="0" w:color="auto"/>
            <w:right w:val="none" w:sz="0" w:space="0" w:color="auto"/>
          </w:divBdr>
        </w:div>
        <w:div w:id="520096861">
          <w:marLeft w:val="0"/>
          <w:marRight w:val="0"/>
          <w:marTop w:val="0"/>
          <w:marBottom w:val="0"/>
          <w:divBdr>
            <w:top w:val="none" w:sz="0" w:space="0" w:color="auto"/>
            <w:left w:val="none" w:sz="0" w:space="0" w:color="auto"/>
            <w:bottom w:val="none" w:sz="0" w:space="0" w:color="auto"/>
            <w:right w:val="none" w:sz="0" w:space="0" w:color="auto"/>
          </w:divBdr>
        </w:div>
        <w:div w:id="1441561171">
          <w:marLeft w:val="0"/>
          <w:marRight w:val="0"/>
          <w:marTop w:val="0"/>
          <w:marBottom w:val="0"/>
          <w:divBdr>
            <w:top w:val="none" w:sz="0" w:space="0" w:color="auto"/>
            <w:left w:val="none" w:sz="0" w:space="0" w:color="auto"/>
            <w:bottom w:val="none" w:sz="0" w:space="0" w:color="auto"/>
            <w:right w:val="none" w:sz="0" w:space="0" w:color="auto"/>
          </w:divBdr>
        </w:div>
        <w:div w:id="2019652822">
          <w:marLeft w:val="0"/>
          <w:marRight w:val="0"/>
          <w:marTop w:val="0"/>
          <w:marBottom w:val="0"/>
          <w:divBdr>
            <w:top w:val="none" w:sz="0" w:space="0" w:color="auto"/>
            <w:left w:val="none" w:sz="0" w:space="0" w:color="auto"/>
            <w:bottom w:val="none" w:sz="0" w:space="0" w:color="auto"/>
            <w:right w:val="none" w:sz="0" w:space="0" w:color="auto"/>
          </w:divBdr>
        </w:div>
        <w:div w:id="1400250442">
          <w:marLeft w:val="0"/>
          <w:marRight w:val="0"/>
          <w:marTop w:val="0"/>
          <w:marBottom w:val="0"/>
          <w:divBdr>
            <w:top w:val="none" w:sz="0" w:space="0" w:color="auto"/>
            <w:left w:val="none" w:sz="0" w:space="0" w:color="auto"/>
            <w:bottom w:val="none" w:sz="0" w:space="0" w:color="auto"/>
            <w:right w:val="none" w:sz="0" w:space="0" w:color="auto"/>
          </w:divBdr>
        </w:div>
        <w:div w:id="973753111">
          <w:marLeft w:val="0"/>
          <w:marRight w:val="0"/>
          <w:marTop w:val="0"/>
          <w:marBottom w:val="0"/>
          <w:divBdr>
            <w:top w:val="none" w:sz="0" w:space="0" w:color="auto"/>
            <w:left w:val="none" w:sz="0" w:space="0" w:color="auto"/>
            <w:bottom w:val="none" w:sz="0" w:space="0" w:color="auto"/>
            <w:right w:val="none" w:sz="0" w:space="0" w:color="auto"/>
          </w:divBdr>
        </w:div>
        <w:div w:id="1303197418">
          <w:marLeft w:val="0"/>
          <w:marRight w:val="0"/>
          <w:marTop w:val="0"/>
          <w:marBottom w:val="0"/>
          <w:divBdr>
            <w:top w:val="none" w:sz="0" w:space="0" w:color="auto"/>
            <w:left w:val="none" w:sz="0" w:space="0" w:color="auto"/>
            <w:bottom w:val="none" w:sz="0" w:space="0" w:color="auto"/>
            <w:right w:val="none" w:sz="0" w:space="0" w:color="auto"/>
          </w:divBdr>
        </w:div>
        <w:div w:id="1151865062">
          <w:marLeft w:val="0"/>
          <w:marRight w:val="0"/>
          <w:marTop w:val="0"/>
          <w:marBottom w:val="0"/>
          <w:divBdr>
            <w:top w:val="none" w:sz="0" w:space="0" w:color="auto"/>
            <w:left w:val="none" w:sz="0" w:space="0" w:color="auto"/>
            <w:bottom w:val="none" w:sz="0" w:space="0" w:color="auto"/>
            <w:right w:val="none" w:sz="0" w:space="0" w:color="auto"/>
          </w:divBdr>
        </w:div>
        <w:div w:id="1720471130">
          <w:marLeft w:val="0"/>
          <w:marRight w:val="0"/>
          <w:marTop w:val="0"/>
          <w:marBottom w:val="0"/>
          <w:divBdr>
            <w:top w:val="none" w:sz="0" w:space="0" w:color="auto"/>
            <w:left w:val="none" w:sz="0" w:space="0" w:color="auto"/>
            <w:bottom w:val="none" w:sz="0" w:space="0" w:color="auto"/>
            <w:right w:val="none" w:sz="0" w:space="0" w:color="auto"/>
          </w:divBdr>
        </w:div>
        <w:div w:id="2033648648">
          <w:marLeft w:val="0"/>
          <w:marRight w:val="0"/>
          <w:marTop w:val="0"/>
          <w:marBottom w:val="0"/>
          <w:divBdr>
            <w:top w:val="none" w:sz="0" w:space="0" w:color="auto"/>
            <w:left w:val="none" w:sz="0" w:space="0" w:color="auto"/>
            <w:bottom w:val="none" w:sz="0" w:space="0" w:color="auto"/>
            <w:right w:val="none" w:sz="0" w:space="0" w:color="auto"/>
          </w:divBdr>
        </w:div>
        <w:div w:id="808017937">
          <w:marLeft w:val="0"/>
          <w:marRight w:val="0"/>
          <w:marTop w:val="0"/>
          <w:marBottom w:val="0"/>
          <w:divBdr>
            <w:top w:val="none" w:sz="0" w:space="0" w:color="auto"/>
            <w:left w:val="none" w:sz="0" w:space="0" w:color="auto"/>
            <w:bottom w:val="none" w:sz="0" w:space="0" w:color="auto"/>
            <w:right w:val="none" w:sz="0" w:space="0" w:color="auto"/>
          </w:divBdr>
        </w:div>
        <w:div w:id="496045215">
          <w:marLeft w:val="0"/>
          <w:marRight w:val="0"/>
          <w:marTop w:val="0"/>
          <w:marBottom w:val="0"/>
          <w:divBdr>
            <w:top w:val="none" w:sz="0" w:space="0" w:color="auto"/>
            <w:left w:val="none" w:sz="0" w:space="0" w:color="auto"/>
            <w:bottom w:val="none" w:sz="0" w:space="0" w:color="auto"/>
            <w:right w:val="none" w:sz="0" w:space="0" w:color="auto"/>
          </w:divBdr>
        </w:div>
        <w:div w:id="1146241417">
          <w:marLeft w:val="0"/>
          <w:marRight w:val="0"/>
          <w:marTop w:val="0"/>
          <w:marBottom w:val="0"/>
          <w:divBdr>
            <w:top w:val="none" w:sz="0" w:space="0" w:color="auto"/>
            <w:left w:val="none" w:sz="0" w:space="0" w:color="auto"/>
            <w:bottom w:val="none" w:sz="0" w:space="0" w:color="auto"/>
            <w:right w:val="none" w:sz="0" w:space="0" w:color="auto"/>
          </w:divBdr>
        </w:div>
        <w:div w:id="1319189950">
          <w:marLeft w:val="0"/>
          <w:marRight w:val="0"/>
          <w:marTop w:val="0"/>
          <w:marBottom w:val="0"/>
          <w:divBdr>
            <w:top w:val="none" w:sz="0" w:space="0" w:color="auto"/>
            <w:left w:val="none" w:sz="0" w:space="0" w:color="auto"/>
            <w:bottom w:val="none" w:sz="0" w:space="0" w:color="auto"/>
            <w:right w:val="none" w:sz="0" w:space="0" w:color="auto"/>
          </w:divBdr>
        </w:div>
        <w:div w:id="1105618331">
          <w:marLeft w:val="0"/>
          <w:marRight w:val="0"/>
          <w:marTop w:val="0"/>
          <w:marBottom w:val="0"/>
          <w:divBdr>
            <w:top w:val="none" w:sz="0" w:space="0" w:color="auto"/>
            <w:left w:val="none" w:sz="0" w:space="0" w:color="auto"/>
            <w:bottom w:val="none" w:sz="0" w:space="0" w:color="auto"/>
            <w:right w:val="none" w:sz="0" w:space="0" w:color="auto"/>
          </w:divBdr>
        </w:div>
        <w:div w:id="157619123">
          <w:marLeft w:val="0"/>
          <w:marRight w:val="0"/>
          <w:marTop w:val="0"/>
          <w:marBottom w:val="0"/>
          <w:divBdr>
            <w:top w:val="none" w:sz="0" w:space="0" w:color="auto"/>
            <w:left w:val="none" w:sz="0" w:space="0" w:color="auto"/>
            <w:bottom w:val="none" w:sz="0" w:space="0" w:color="auto"/>
            <w:right w:val="none" w:sz="0" w:space="0" w:color="auto"/>
          </w:divBdr>
        </w:div>
        <w:div w:id="1428381390">
          <w:marLeft w:val="0"/>
          <w:marRight w:val="0"/>
          <w:marTop w:val="0"/>
          <w:marBottom w:val="0"/>
          <w:divBdr>
            <w:top w:val="none" w:sz="0" w:space="0" w:color="auto"/>
            <w:left w:val="none" w:sz="0" w:space="0" w:color="auto"/>
            <w:bottom w:val="none" w:sz="0" w:space="0" w:color="auto"/>
            <w:right w:val="none" w:sz="0" w:space="0" w:color="auto"/>
          </w:divBdr>
        </w:div>
        <w:div w:id="600263642">
          <w:marLeft w:val="0"/>
          <w:marRight w:val="0"/>
          <w:marTop w:val="0"/>
          <w:marBottom w:val="0"/>
          <w:divBdr>
            <w:top w:val="none" w:sz="0" w:space="0" w:color="auto"/>
            <w:left w:val="none" w:sz="0" w:space="0" w:color="auto"/>
            <w:bottom w:val="none" w:sz="0" w:space="0" w:color="auto"/>
            <w:right w:val="none" w:sz="0" w:space="0" w:color="auto"/>
          </w:divBdr>
        </w:div>
        <w:div w:id="405954886">
          <w:marLeft w:val="0"/>
          <w:marRight w:val="0"/>
          <w:marTop w:val="0"/>
          <w:marBottom w:val="0"/>
          <w:divBdr>
            <w:top w:val="none" w:sz="0" w:space="0" w:color="auto"/>
            <w:left w:val="none" w:sz="0" w:space="0" w:color="auto"/>
            <w:bottom w:val="none" w:sz="0" w:space="0" w:color="auto"/>
            <w:right w:val="none" w:sz="0" w:space="0" w:color="auto"/>
          </w:divBdr>
        </w:div>
        <w:div w:id="1811897628">
          <w:marLeft w:val="0"/>
          <w:marRight w:val="0"/>
          <w:marTop w:val="0"/>
          <w:marBottom w:val="0"/>
          <w:divBdr>
            <w:top w:val="none" w:sz="0" w:space="0" w:color="auto"/>
            <w:left w:val="none" w:sz="0" w:space="0" w:color="auto"/>
            <w:bottom w:val="none" w:sz="0" w:space="0" w:color="auto"/>
            <w:right w:val="none" w:sz="0" w:space="0" w:color="auto"/>
          </w:divBdr>
        </w:div>
        <w:div w:id="519053709">
          <w:marLeft w:val="0"/>
          <w:marRight w:val="0"/>
          <w:marTop w:val="0"/>
          <w:marBottom w:val="0"/>
          <w:divBdr>
            <w:top w:val="none" w:sz="0" w:space="0" w:color="auto"/>
            <w:left w:val="none" w:sz="0" w:space="0" w:color="auto"/>
            <w:bottom w:val="none" w:sz="0" w:space="0" w:color="auto"/>
            <w:right w:val="none" w:sz="0" w:space="0" w:color="auto"/>
          </w:divBdr>
        </w:div>
        <w:div w:id="998579999">
          <w:marLeft w:val="0"/>
          <w:marRight w:val="0"/>
          <w:marTop w:val="0"/>
          <w:marBottom w:val="0"/>
          <w:divBdr>
            <w:top w:val="none" w:sz="0" w:space="0" w:color="auto"/>
            <w:left w:val="none" w:sz="0" w:space="0" w:color="auto"/>
            <w:bottom w:val="none" w:sz="0" w:space="0" w:color="auto"/>
            <w:right w:val="none" w:sz="0" w:space="0" w:color="auto"/>
          </w:divBdr>
        </w:div>
        <w:div w:id="166284853">
          <w:marLeft w:val="0"/>
          <w:marRight w:val="0"/>
          <w:marTop w:val="0"/>
          <w:marBottom w:val="0"/>
          <w:divBdr>
            <w:top w:val="none" w:sz="0" w:space="0" w:color="auto"/>
            <w:left w:val="none" w:sz="0" w:space="0" w:color="auto"/>
            <w:bottom w:val="none" w:sz="0" w:space="0" w:color="auto"/>
            <w:right w:val="none" w:sz="0" w:space="0" w:color="auto"/>
          </w:divBdr>
        </w:div>
        <w:div w:id="1487554154">
          <w:marLeft w:val="0"/>
          <w:marRight w:val="0"/>
          <w:marTop w:val="0"/>
          <w:marBottom w:val="0"/>
          <w:divBdr>
            <w:top w:val="none" w:sz="0" w:space="0" w:color="auto"/>
            <w:left w:val="none" w:sz="0" w:space="0" w:color="auto"/>
            <w:bottom w:val="none" w:sz="0" w:space="0" w:color="auto"/>
            <w:right w:val="none" w:sz="0" w:space="0" w:color="auto"/>
          </w:divBdr>
        </w:div>
        <w:div w:id="1822231459">
          <w:marLeft w:val="0"/>
          <w:marRight w:val="0"/>
          <w:marTop w:val="0"/>
          <w:marBottom w:val="0"/>
          <w:divBdr>
            <w:top w:val="none" w:sz="0" w:space="0" w:color="auto"/>
            <w:left w:val="none" w:sz="0" w:space="0" w:color="auto"/>
            <w:bottom w:val="none" w:sz="0" w:space="0" w:color="auto"/>
            <w:right w:val="none" w:sz="0" w:space="0" w:color="auto"/>
          </w:divBdr>
        </w:div>
        <w:div w:id="1976369730">
          <w:marLeft w:val="0"/>
          <w:marRight w:val="0"/>
          <w:marTop w:val="0"/>
          <w:marBottom w:val="0"/>
          <w:divBdr>
            <w:top w:val="none" w:sz="0" w:space="0" w:color="auto"/>
            <w:left w:val="none" w:sz="0" w:space="0" w:color="auto"/>
            <w:bottom w:val="none" w:sz="0" w:space="0" w:color="auto"/>
            <w:right w:val="none" w:sz="0" w:space="0" w:color="auto"/>
          </w:divBdr>
        </w:div>
        <w:div w:id="461458646">
          <w:marLeft w:val="0"/>
          <w:marRight w:val="0"/>
          <w:marTop w:val="0"/>
          <w:marBottom w:val="0"/>
          <w:divBdr>
            <w:top w:val="none" w:sz="0" w:space="0" w:color="auto"/>
            <w:left w:val="none" w:sz="0" w:space="0" w:color="auto"/>
            <w:bottom w:val="none" w:sz="0" w:space="0" w:color="auto"/>
            <w:right w:val="none" w:sz="0" w:space="0" w:color="auto"/>
          </w:divBdr>
        </w:div>
        <w:div w:id="1581020455">
          <w:marLeft w:val="0"/>
          <w:marRight w:val="0"/>
          <w:marTop w:val="0"/>
          <w:marBottom w:val="0"/>
          <w:divBdr>
            <w:top w:val="none" w:sz="0" w:space="0" w:color="auto"/>
            <w:left w:val="none" w:sz="0" w:space="0" w:color="auto"/>
            <w:bottom w:val="none" w:sz="0" w:space="0" w:color="auto"/>
            <w:right w:val="none" w:sz="0" w:space="0" w:color="auto"/>
          </w:divBdr>
        </w:div>
        <w:div w:id="1986010687">
          <w:marLeft w:val="0"/>
          <w:marRight w:val="0"/>
          <w:marTop w:val="0"/>
          <w:marBottom w:val="0"/>
          <w:divBdr>
            <w:top w:val="none" w:sz="0" w:space="0" w:color="auto"/>
            <w:left w:val="none" w:sz="0" w:space="0" w:color="auto"/>
            <w:bottom w:val="none" w:sz="0" w:space="0" w:color="auto"/>
            <w:right w:val="none" w:sz="0" w:space="0" w:color="auto"/>
          </w:divBdr>
        </w:div>
      </w:divsChild>
    </w:div>
    <w:div w:id="1656713868">
      <w:bodyDiv w:val="1"/>
      <w:marLeft w:val="0"/>
      <w:marRight w:val="0"/>
      <w:marTop w:val="0"/>
      <w:marBottom w:val="0"/>
      <w:divBdr>
        <w:top w:val="none" w:sz="0" w:space="0" w:color="auto"/>
        <w:left w:val="none" w:sz="0" w:space="0" w:color="auto"/>
        <w:bottom w:val="none" w:sz="0" w:space="0" w:color="auto"/>
        <w:right w:val="none" w:sz="0" w:space="0" w:color="auto"/>
      </w:divBdr>
      <w:divsChild>
        <w:div w:id="519702320">
          <w:marLeft w:val="547"/>
          <w:marRight w:val="0"/>
          <w:marTop w:val="120"/>
          <w:marBottom w:val="120"/>
          <w:divBdr>
            <w:top w:val="none" w:sz="0" w:space="0" w:color="auto"/>
            <w:left w:val="none" w:sz="0" w:space="0" w:color="auto"/>
            <w:bottom w:val="none" w:sz="0" w:space="0" w:color="auto"/>
            <w:right w:val="none" w:sz="0" w:space="0" w:color="auto"/>
          </w:divBdr>
        </w:div>
        <w:div w:id="1301495746">
          <w:marLeft w:val="1166"/>
          <w:marRight w:val="0"/>
          <w:marTop w:val="120"/>
          <w:marBottom w:val="120"/>
          <w:divBdr>
            <w:top w:val="none" w:sz="0" w:space="0" w:color="auto"/>
            <w:left w:val="none" w:sz="0" w:space="0" w:color="auto"/>
            <w:bottom w:val="none" w:sz="0" w:space="0" w:color="auto"/>
            <w:right w:val="none" w:sz="0" w:space="0" w:color="auto"/>
          </w:divBdr>
        </w:div>
        <w:div w:id="842159714">
          <w:marLeft w:val="547"/>
          <w:marRight w:val="0"/>
          <w:marTop w:val="120"/>
          <w:marBottom w:val="120"/>
          <w:divBdr>
            <w:top w:val="none" w:sz="0" w:space="0" w:color="auto"/>
            <w:left w:val="none" w:sz="0" w:space="0" w:color="auto"/>
            <w:bottom w:val="none" w:sz="0" w:space="0" w:color="auto"/>
            <w:right w:val="none" w:sz="0" w:space="0" w:color="auto"/>
          </w:divBdr>
        </w:div>
        <w:div w:id="503014011">
          <w:marLeft w:val="1166"/>
          <w:marRight w:val="0"/>
          <w:marTop w:val="120"/>
          <w:marBottom w:val="120"/>
          <w:divBdr>
            <w:top w:val="none" w:sz="0" w:space="0" w:color="auto"/>
            <w:left w:val="none" w:sz="0" w:space="0" w:color="auto"/>
            <w:bottom w:val="none" w:sz="0" w:space="0" w:color="auto"/>
            <w:right w:val="none" w:sz="0" w:space="0" w:color="auto"/>
          </w:divBdr>
        </w:div>
        <w:div w:id="507840049">
          <w:marLeft w:val="1166"/>
          <w:marRight w:val="0"/>
          <w:marTop w:val="120"/>
          <w:marBottom w:val="120"/>
          <w:divBdr>
            <w:top w:val="none" w:sz="0" w:space="0" w:color="auto"/>
            <w:left w:val="none" w:sz="0" w:space="0" w:color="auto"/>
            <w:bottom w:val="none" w:sz="0" w:space="0" w:color="auto"/>
            <w:right w:val="none" w:sz="0" w:space="0" w:color="auto"/>
          </w:divBdr>
        </w:div>
        <w:div w:id="1781531395">
          <w:marLeft w:val="1166"/>
          <w:marRight w:val="0"/>
          <w:marTop w:val="120"/>
          <w:marBottom w:val="120"/>
          <w:divBdr>
            <w:top w:val="none" w:sz="0" w:space="0" w:color="auto"/>
            <w:left w:val="none" w:sz="0" w:space="0" w:color="auto"/>
            <w:bottom w:val="none" w:sz="0" w:space="0" w:color="auto"/>
            <w:right w:val="none" w:sz="0" w:space="0" w:color="auto"/>
          </w:divBdr>
        </w:div>
        <w:div w:id="511841600">
          <w:marLeft w:val="547"/>
          <w:marRight w:val="0"/>
          <w:marTop w:val="120"/>
          <w:marBottom w:val="120"/>
          <w:divBdr>
            <w:top w:val="none" w:sz="0" w:space="0" w:color="auto"/>
            <w:left w:val="none" w:sz="0" w:space="0" w:color="auto"/>
            <w:bottom w:val="none" w:sz="0" w:space="0" w:color="auto"/>
            <w:right w:val="none" w:sz="0" w:space="0" w:color="auto"/>
          </w:divBdr>
        </w:div>
        <w:div w:id="1960139693">
          <w:marLeft w:val="1166"/>
          <w:marRight w:val="0"/>
          <w:marTop w:val="120"/>
          <w:marBottom w:val="120"/>
          <w:divBdr>
            <w:top w:val="none" w:sz="0" w:space="0" w:color="auto"/>
            <w:left w:val="none" w:sz="0" w:space="0" w:color="auto"/>
            <w:bottom w:val="none" w:sz="0" w:space="0" w:color="auto"/>
            <w:right w:val="none" w:sz="0" w:space="0" w:color="auto"/>
          </w:divBdr>
        </w:div>
        <w:div w:id="900597780">
          <w:marLeft w:val="547"/>
          <w:marRight w:val="0"/>
          <w:marTop w:val="120"/>
          <w:marBottom w:val="120"/>
          <w:divBdr>
            <w:top w:val="none" w:sz="0" w:space="0" w:color="auto"/>
            <w:left w:val="none" w:sz="0" w:space="0" w:color="auto"/>
            <w:bottom w:val="none" w:sz="0" w:space="0" w:color="auto"/>
            <w:right w:val="none" w:sz="0" w:space="0" w:color="auto"/>
          </w:divBdr>
        </w:div>
      </w:divsChild>
    </w:div>
    <w:div w:id="1757440730">
      <w:bodyDiv w:val="1"/>
      <w:marLeft w:val="0"/>
      <w:marRight w:val="0"/>
      <w:marTop w:val="0"/>
      <w:marBottom w:val="0"/>
      <w:divBdr>
        <w:top w:val="none" w:sz="0" w:space="0" w:color="auto"/>
        <w:left w:val="none" w:sz="0" w:space="0" w:color="auto"/>
        <w:bottom w:val="none" w:sz="0" w:space="0" w:color="auto"/>
        <w:right w:val="none" w:sz="0" w:space="0" w:color="auto"/>
      </w:divBdr>
    </w:div>
    <w:div w:id="1838228211">
      <w:bodyDiv w:val="1"/>
      <w:marLeft w:val="0"/>
      <w:marRight w:val="0"/>
      <w:marTop w:val="0"/>
      <w:marBottom w:val="0"/>
      <w:divBdr>
        <w:top w:val="none" w:sz="0" w:space="0" w:color="auto"/>
        <w:left w:val="none" w:sz="0" w:space="0" w:color="auto"/>
        <w:bottom w:val="none" w:sz="0" w:space="0" w:color="auto"/>
        <w:right w:val="none" w:sz="0" w:space="0" w:color="auto"/>
      </w:divBdr>
    </w:div>
    <w:div w:id="1882865064">
      <w:bodyDiv w:val="1"/>
      <w:marLeft w:val="0"/>
      <w:marRight w:val="0"/>
      <w:marTop w:val="0"/>
      <w:marBottom w:val="0"/>
      <w:divBdr>
        <w:top w:val="none" w:sz="0" w:space="0" w:color="auto"/>
        <w:left w:val="none" w:sz="0" w:space="0" w:color="auto"/>
        <w:bottom w:val="none" w:sz="0" w:space="0" w:color="auto"/>
        <w:right w:val="none" w:sz="0" w:space="0" w:color="auto"/>
      </w:divBdr>
    </w:div>
    <w:div w:id="1992169069">
      <w:bodyDiv w:val="1"/>
      <w:marLeft w:val="0"/>
      <w:marRight w:val="0"/>
      <w:marTop w:val="0"/>
      <w:marBottom w:val="0"/>
      <w:divBdr>
        <w:top w:val="none" w:sz="0" w:space="0" w:color="auto"/>
        <w:left w:val="none" w:sz="0" w:space="0" w:color="auto"/>
        <w:bottom w:val="none" w:sz="0" w:space="0" w:color="auto"/>
        <w:right w:val="none" w:sz="0" w:space="0" w:color="auto"/>
      </w:divBdr>
    </w:div>
    <w:div w:id="2110809202">
      <w:bodyDiv w:val="1"/>
      <w:marLeft w:val="0"/>
      <w:marRight w:val="0"/>
      <w:marTop w:val="0"/>
      <w:marBottom w:val="0"/>
      <w:divBdr>
        <w:top w:val="none" w:sz="0" w:space="0" w:color="auto"/>
        <w:left w:val="none" w:sz="0" w:space="0" w:color="auto"/>
        <w:bottom w:val="none" w:sz="0" w:space="0" w:color="auto"/>
        <w:right w:val="none" w:sz="0" w:space="0" w:color="auto"/>
      </w:divBdr>
      <w:divsChild>
        <w:div w:id="2082635585">
          <w:marLeft w:val="547"/>
          <w:marRight w:val="0"/>
          <w:marTop w:val="120"/>
          <w:marBottom w:val="120"/>
          <w:divBdr>
            <w:top w:val="none" w:sz="0" w:space="0" w:color="auto"/>
            <w:left w:val="none" w:sz="0" w:space="0" w:color="auto"/>
            <w:bottom w:val="none" w:sz="0" w:space="0" w:color="auto"/>
            <w:right w:val="none" w:sz="0" w:space="0" w:color="auto"/>
          </w:divBdr>
        </w:div>
        <w:div w:id="1706053859">
          <w:marLeft w:val="1166"/>
          <w:marRight w:val="0"/>
          <w:marTop w:val="120"/>
          <w:marBottom w:val="120"/>
          <w:divBdr>
            <w:top w:val="none" w:sz="0" w:space="0" w:color="auto"/>
            <w:left w:val="none" w:sz="0" w:space="0" w:color="auto"/>
            <w:bottom w:val="none" w:sz="0" w:space="0" w:color="auto"/>
            <w:right w:val="none" w:sz="0" w:space="0" w:color="auto"/>
          </w:divBdr>
        </w:div>
        <w:div w:id="1928271481">
          <w:marLeft w:val="1166"/>
          <w:marRight w:val="0"/>
          <w:marTop w:val="120"/>
          <w:marBottom w:val="120"/>
          <w:divBdr>
            <w:top w:val="none" w:sz="0" w:space="0" w:color="auto"/>
            <w:left w:val="none" w:sz="0" w:space="0" w:color="auto"/>
            <w:bottom w:val="none" w:sz="0" w:space="0" w:color="auto"/>
            <w:right w:val="none" w:sz="0" w:space="0" w:color="auto"/>
          </w:divBdr>
        </w:div>
        <w:div w:id="752356535">
          <w:marLeft w:val="1166"/>
          <w:marRight w:val="0"/>
          <w:marTop w:val="120"/>
          <w:marBottom w:val="120"/>
          <w:divBdr>
            <w:top w:val="none" w:sz="0" w:space="0" w:color="auto"/>
            <w:left w:val="none" w:sz="0" w:space="0" w:color="auto"/>
            <w:bottom w:val="none" w:sz="0" w:space="0" w:color="auto"/>
            <w:right w:val="none" w:sz="0" w:space="0" w:color="auto"/>
          </w:divBdr>
        </w:div>
        <w:div w:id="383212734">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smallarmssurvey.org/fileadmin/docs/A-Yearbook/2001/en/Small-Arms-Survey-2001-Chapter-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B025A368495844990383BEFE54430B" ma:contentTypeVersion="8" ma:contentTypeDescription="Create a new document." ma:contentTypeScope="" ma:versionID="d6658179ed1df7a2cebd2b4d2c5b6e60">
  <xsd:schema xmlns:xsd="http://www.w3.org/2001/XMLSchema" xmlns:xs="http://www.w3.org/2001/XMLSchema" xmlns:p="http://schemas.microsoft.com/office/2006/metadata/properties" xmlns:ns2="22c90bce-2cbd-47c9-a5a8-76d2d6d13de2" xmlns:ns3="1534e5d4-e7fe-4392-9655-70f228cf5b35" xmlns:ns4="8f294c81-eed8-4385-93ed-23d6dd3d576a" targetNamespace="http://schemas.microsoft.com/office/2006/metadata/properties" ma:root="true" ma:fieldsID="5284d064dcb28df9a583212ced7dc774" ns2:_="" ns3:_="" ns4:_="">
    <xsd:import namespace="22c90bce-2cbd-47c9-a5a8-76d2d6d13de2"/>
    <xsd:import namespace="1534e5d4-e7fe-4392-9655-70f228cf5b35"/>
    <xsd:import namespace="8f294c81-eed8-4385-93ed-23d6dd3d576a"/>
    <xsd:element name="properties">
      <xsd:complexType>
        <xsd:sequence>
          <xsd:element name="documentManagement">
            <xsd:complexType>
              <xsd:all>
                <xsd:element ref="ns2:mfa46ff090dd47e589c97dbc7825eb2e" minOccurs="0"/>
                <xsd:element ref="ns3:TaxCatchAll" minOccurs="0"/>
                <xsd:element ref="ns2:Document_x0020_Status"/>
                <xsd:element ref="ns2:Deliverable"/>
                <xsd:element ref="ns2:Comments" minOccurs="0"/>
                <xsd:element ref="ns4:C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90bce-2cbd-47c9-a5a8-76d2d6d13de2" elementFormDefault="qualified">
    <xsd:import namespace="http://schemas.microsoft.com/office/2006/documentManagement/types"/>
    <xsd:import namespace="http://schemas.microsoft.com/office/infopath/2007/PartnerControls"/>
    <xsd:element name="mfa46ff090dd47e589c97dbc7825eb2e" ma:index="9" ma:taxonomy="true" ma:internalName="mfa46ff090dd47e589c97dbc7825eb2e" ma:taxonomyFieldName="Document_x0020_Category" ma:displayName="Document Category" ma:readOnly="false" ma:default="" ma:fieldId="{6fa46ff0-90dd-47e5-89c9-7dbc7825eb2e}" ma:taxonomyMulti="true" ma:sspId="84cbda40-2537-444e-86bb-4f84926de202" ma:termSetId="a83527ac-39dd-46b8-b863-771855a61c71" ma:anchorId="00000000-0000-0000-0000-000000000000" ma:open="false" ma:isKeyword="false">
      <xsd:complexType>
        <xsd:sequence>
          <xsd:element ref="pc:Terms" minOccurs="0" maxOccurs="1"/>
        </xsd:sequence>
      </xsd:complexType>
    </xsd:element>
    <xsd:element name="Document_x0020_Status" ma:index="11" ma:displayName="Document Status" ma:default="Draft" ma:format="Dropdown" ma:internalName="Document_x0020_Status">
      <xsd:simpleType>
        <xsd:restriction base="dms:Choice">
          <xsd:enumeration value="Draft"/>
          <xsd:enumeration value="Final"/>
        </xsd:restriction>
      </xsd:simpleType>
    </xsd:element>
    <xsd:element name="Deliverable" ma:index="12" ma:displayName="Deliverable" ma:default="No" ma:format="Dropdown" ma:internalName="Deliverable">
      <xsd:simpleType>
        <xsd:restriction base="dms:Choice">
          <xsd:enumeration value="Yes"/>
          <xsd:enumeration value="No"/>
        </xsd:restriction>
      </xsd:simpleType>
    </xsd:element>
    <xsd:element name="Comments" ma:index="13"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4e5d4-e7fe-4392-9655-70f228cf5b35"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06d36a8-cc95-4f3f-8f62-0901a9932021}" ma:internalName="TaxCatchAll" ma:showField="CatchAllData" ma:web="1534e5d4-e7fe-4392-9655-70f228cf5b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294c81-eed8-4385-93ed-23d6dd3d576a" elementFormDefault="qualified">
    <xsd:import namespace="http://schemas.microsoft.com/office/2006/documentManagement/types"/>
    <xsd:import namespace="http://schemas.microsoft.com/office/infopath/2007/PartnerControls"/>
    <xsd:element name="CM" ma:index="14" nillable="true" ma:displayName="CM?" ma:format="Dropdown" ma:internalName="CM">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M xmlns="8f294c81-eed8-4385-93ed-23d6dd3d576a" xsi:nil="true"/>
    <Document_x0020_Status xmlns="22c90bce-2cbd-47c9-a5a8-76d2d6d13de2">Draft</Document_x0020_Status>
    <Deliverable xmlns="22c90bce-2cbd-47c9-a5a8-76d2d6d13de2">No</Deliverable>
    <Comments xmlns="22c90bce-2cbd-47c9-a5a8-76d2d6d13de2" xsi:nil="true"/>
    <TaxCatchAll xmlns="1534e5d4-e7fe-4392-9655-70f228cf5b35">
      <Value>58</Value>
    </TaxCatchAll>
    <mfa46ff090dd47e589c97dbc7825eb2e xmlns="22c90bce-2cbd-47c9-a5a8-76d2d6d13de2">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63315dc7-df96-4ddf-aeb5-0d04ed27e0fc</TermId>
        </TermInfo>
      </Terms>
    </mfa46ff090dd47e589c97dbc7825eb2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2DFE97-708B-4CB8-8836-D98BDCEB165E}"/>
</file>

<file path=customXml/itemProps2.xml><?xml version="1.0" encoding="utf-8"?>
<ds:datastoreItem xmlns:ds="http://schemas.openxmlformats.org/officeDocument/2006/customXml" ds:itemID="{4EC3D679-9F8E-4572-9F84-6F82B91B3556}"/>
</file>

<file path=customXml/itemProps3.xml><?xml version="1.0" encoding="utf-8"?>
<ds:datastoreItem xmlns:ds="http://schemas.openxmlformats.org/officeDocument/2006/customXml" ds:itemID="{D290B29A-725D-4E51-8F71-E96D7E09CDBE}"/>
</file>

<file path=customXml/itemProps4.xml><?xml version="1.0" encoding="utf-8"?>
<ds:datastoreItem xmlns:ds="http://schemas.openxmlformats.org/officeDocument/2006/customXml" ds:itemID="{C0EBD877-7244-DF4C-BB6F-F92E263B9C38}"/>
</file>

<file path=docProps/app.xml><?xml version="1.0" encoding="utf-8"?>
<Properties xmlns="http://schemas.openxmlformats.org/officeDocument/2006/extended-properties" xmlns:vt="http://schemas.openxmlformats.org/officeDocument/2006/docPropsVTypes">
  <Template>Normal.dotm</Template>
  <TotalTime>7</TotalTime>
  <Pages>7</Pages>
  <Words>2457</Words>
  <Characters>15554</Characters>
  <Application>Microsoft Macintosh Word</Application>
  <DocSecurity>0</DocSecurity>
  <Lines>370</Lines>
  <Paragraphs>171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CATHIE</dc:creator>
  <cp:lastModifiedBy>Mirna Herman Baletic</cp:lastModifiedBy>
  <cp:revision>3</cp:revision>
  <dcterms:created xsi:type="dcterms:W3CDTF">2019-10-14T22:09:00Z</dcterms:created>
  <dcterms:modified xsi:type="dcterms:W3CDTF">2019-10-21T07:55:00Z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0x01010079B025A368495844990383BEFE54430B</vt:lpwstr>
  </property>
  <property fmtid="{D5CDD505-2E9C-101B-9397-08002B2CF9AE}" pid="3" name="Document Category">
    <vt:lpwstr>58;#Other|63315dc7-df96-4ddf-aeb5-0d04ed27e0fc</vt:lpwstr>
  </property>
</Properties>
</file>